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5012AEAE"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DB6442">
        <w:rPr>
          <w:rFonts w:ascii="Arial" w:eastAsia="Batang" w:hAnsi="Arial" w:cs="Arial"/>
          <w:b/>
          <w:bCs/>
          <w:szCs w:val="22"/>
        </w:rPr>
        <w:t>5-</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777194" w:rsidRPr="00777194">
        <w:rPr>
          <w:rFonts w:ascii="Arial" w:eastAsia="Batang" w:hAnsi="Arial" w:cs="Arial"/>
          <w:b/>
          <w:bCs/>
          <w:szCs w:val="22"/>
        </w:rPr>
        <w:t>R1-2105161</w:t>
      </w:r>
    </w:p>
    <w:p w14:paraId="3B0F6453" w14:textId="198A406B"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DB6442">
        <w:rPr>
          <w:rFonts w:ascii="Arial" w:eastAsia="MS Mincho" w:hAnsi="Arial" w:cs="Arial"/>
          <w:b/>
          <w:bCs/>
          <w:szCs w:val="22"/>
          <w:lang w:eastAsia="ja-JP"/>
        </w:rPr>
        <w:t>May 10</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DB6442">
        <w:rPr>
          <w:rFonts w:ascii="Arial" w:eastAsia="MS Mincho" w:hAnsi="Arial" w:cs="Arial"/>
          <w:b/>
          <w:bCs/>
          <w:szCs w:val="22"/>
          <w:lang w:eastAsia="ja-JP"/>
        </w:rPr>
        <w:t>27</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684EB52"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601258">
        <w:rPr>
          <w:b/>
          <w:lang w:val="en-US"/>
        </w:rPr>
        <w:t>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BEF283D"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01258" w:rsidRPr="00601258">
        <w:rPr>
          <w:b/>
          <w:color w:val="000000"/>
          <w:lang w:val="en-US"/>
        </w:rPr>
        <w:t>Considerations on CSI feedback enhancements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10E76C9A" w:rsidR="004D5BF4" w:rsidRDefault="002E24EA" w:rsidP="004D5BF4">
      <w:pPr>
        <w:rPr>
          <w:rFonts w:eastAsia="MS Mincho"/>
          <w:lang w:val="en-US"/>
        </w:rPr>
      </w:pPr>
      <w:r>
        <w:rPr>
          <w:rFonts w:eastAsia="MS Mincho"/>
          <w:lang w:val="en-US"/>
        </w:rPr>
        <w:t>In RAN1#10</w:t>
      </w:r>
      <w:r w:rsidR="00836397">
        <w:rPr>
          <w:rFonts w:eastAsia="MS Mincho"/>
          <w:lang w:val="en-US"/>
        </w:rPr>
        <w:t>4</w:t>
      </w:r>
      <w:r w:rsidR="00DB6442">
        <w:rPr>
          <w:rFonts w:eastAsia="MS Mincho"/>
          <w:lang w:val="en-US"/>
        </w:rPr>
        <w:t>bis</w:t>
      </w:r>
      <w:r>
        <w:rPr>
          <w:rFonts w:eastAsia="MS Mincho"/>
          <w:lang w:val="en-US"/>
        </w:rPr>
        <w:t xml:space="preserve">-e we </w:t>
      </w:r>
      <w:r w:rsidR="00F20795">
        <w:rPr>
          <w:rFonts w:eastAsia="MS Mincho"/>
          <w:lang w:val="en-US"/>
        </w:rPr>
        <w:t>made the following agreements</w:t>
      </w:r>
      <w:r>
        <w:rPr>
          <w:rFonts w:eastAsia="MS Mincho"/>
          <w:lang w:val="en-US"/>
        </w:rPr>
        <w:t>:</w:t>
      </w:r>
    </w:p>
    <w:p w14:paraId="470CAC09" w14:textId="77777777" w:rsidR="002E73EE" w:rsidRPr="002E73EE" w:rsidRDefault="002E73EE" w:rsidP="002E73EE">
      <w:pPr>
        <w:ind w:left="720"/>
        <w:rPr>
          <w:b/>
          <w:bCs/>
          <w:i/>
          <w:iCs/>
          <w:sz w:val="32"/>
          <w:szCs w:val="32"/>
          <w:lang w:val="en-US" w:eastAsia="ko-KR"/>
        </w:rPr>
      </w:pPr>
      <w:r w:rsidRPr="002E73EE">
        <w:rPr>
          <w:i/>
          <w:iCs/>
          <w:highlight w:val="green"/>
          <w:lang w:eastAsia="x-none"/>
        </w:rPr>
        <w:t>Agreements:</w:t>
      </w:r>
    </w:p>
    <w:p w14:paraId="4C30BB65" w14:textId="77777777" w:rsidR="002E73EE" w:rsidRPr="002E73EE" w:rsidRDefault="002E73EE" w:rsidP="002E73EE">
      <w:pPr>
        <w:ind w:left="720"/>
        <w:rPr>
          <w:i/>
          <w:iCs/>
          <w:lang w:eastAsia="ko-KR"/>
        </w:rPr>
      </w:pPr>
      <w:r w:rsidRPr="002E73EE">
        <w:rPr>
          <w:i/>
          <w:iCs/>
          <w:lang w:eastAsia="ko-KR"/>
        </w:rPr>
        <w:t>For new reporting Case 2, focus study on reporting of delta-CQI/MCS (Case 2-3):</w:t>
      </w:r>
    </w:p>
    <w:p w14:paraId="049201A3" w14:textId="77777777" w:rsidR="002E73EE" w:rsidRPr="002E73EE" w:rsidRDefault="002E73EE" w:rsidP="002E73EE">
      <w:pPr>
        <w:pStyle w:val="ListParagraph"/>
        <w:numPr>
          <w:ilvl w:val="0"/>
          <w:numId w:val="23"/>
        </w:numPr>
        <w:spacing w:line="252" w:lineRule="auto"/>
        <w:ind w:left="1440"/>
        <w:contextualSpacing w:val="0"/>
        <w:rPr>
          <w:i/>
          <w:iCs/>
          <w:lang w:eastAsia="ko-KR"/>
        </w:rPr>
      </w:pPr>
      <w:r w:rsidRPr="002E73EE">
        <w:rPr>
          <w:i/>
          <w:iCs/>
          <w:lang w:eastAsia="ko-KR"/>
        </w:rPr>
        <w:t>Note: this delta-CQI/MCS is determined based on UE implementation (for example, using SINR, LLR, raw BER, flipped bits, LDPC iterations, BLEP, # fail parity checks, etc.)</w:t>
      </w:r>
    </w:p>
    <w:p w14:paraId="70558BED" w14:textId="77777777" w:rsidR="002E73EE" w:rsidRPr="002E73EE" w:rsidRDefault="002E73EE" w:rsidP="002E73EE">
      <w:pPr>
        <w:pStyle w:val="ListParagraph"/>
        <w:numPr>
          <w:ilvl w:val="1"/>
          <w:numId w:val="23"/>
        </w:numPr>
        <w:spacing w:line="252" w:lineRule="auto"/>
        <w:ind w:left="2160"/>
        <w:contextualSpacing w:val="0"/>
        <w:rPr>
          <w:i/>
          <w:iCs/>
          <w:lang w:eastAsia="ko-KR"/>
        </w:rPr>
      </w:pPr>
      <w:r w:rsidRPr="002E73EE">
        <w:rPr>
          <w:i/>
          <w:iCs/>
          <w:lang w:eastAsia="ko-KR"/>
        </w:rPr>
        <w:t>Companies are encouraged to provide more details in their analysis</w:t>
      </w:r>
    </w:p>
    <w:p w14:paraId="1CE5E867" w14:textId="77777777" w:rsidR="002E73EE" w:rsidRPr="002E73EE" w:rsidRDefault="002E73EE" w:rsidP="002E73EE">
      <w:pPr>
        <w:pStyle w:val="ListParagraph"/>
        <w:numPr>
          <w:ilvl w:val="0"/>
          <w:numId w:val="23"/>
        </w:numPr>
        <w:spacing w:line="252" w:lineRule="auto"/>
        <w:ind w:left="1440"/>
        <w:contextualSpacing w:val="0"/>
        <w:rPr>
          <w:i/>
          <w:iCs/>
          <w:lang w:eastAsia="ko-KR"/>
        </w:rPr>
      </w:pPr>
      <w:r w:rsidRPr="002E73EE">
        <w:rPr>
          <w:i/>
          <w:iCs/>
          <w:lang w:eastAsia="ko-KR"/>
        </w:rPr>
        <w:t>FFS: Granularity of new report type (e.g. units of CQI or MCS, how many bits)</w:t>
      </w:r>
    </w:p>
    <w:p w14:paraId="3B118113" w14:textId="77777777" w:rsidR="002E73EE" w:rsidRPr="002E73EE" w:rsidRDefault="002E73EE" w:rsidP="002E73EE">
      <w:pPr>
        <w:pStyle w:val="ListParagraph"/>
        <w:numPr>
          <w:ilvl w:val="0"/>
          <w:numId w:val="23"/>
        </w:numPr>
        <w:spacing w:line="252" w:lineRule="auto"/>
        <w:ind w:left="1440"/>
        <w:contextualSpacing w:val="0"/>
        <w:rPr>
          <w:i/>
          <w:iCs/>
          <w:lang w:eastAsia="ko-KR"/>
        </w:rPr>
      </w:pPr>
      <w:r w:rsidRPr="002E73EE">
        <w:rPr>
          <w:i/>
          <w:iCs/>
          <w:lang w:eastAsia="ko-KR"/>
        </w:rPr>
        <w:t>FFS: Whether quantity reported is relative to the scheduled MCS</w:t>
      </w:r>
    </w:p>
    <w:p w14:paraId="29917E96" w14:textId="77777777" w:rsidR="002E73EE" w:rsidRPr="002E73EE" w:rsidRDefault="002E73EE" w:rsidP="002E73EE">
      <w:pPr>
        <w:ind w:left="720"/>
        <w:rPr>
          <w:i/>
          <w:iCs/>
        </w:rPr>
      </w:pPr>
    </w:p>
    <w:p w14:paraId="4DB1FB4F" w14:textId="77777777" w:rsidR="002E73EE" w:rsidRPr="002E73EE" w:rsidRDefault="002E73EE" w:rsidP="002E73EE">
      <w:pPr>
        <w:ind w:left="720"/>
        <w:rPr>
          <w:i/>
          <w:iCs/>
          <w:color w:val="000000"/>
          <w:szCs w:val="22"/>
          <w:lang w:val="en-US"/>
        </w:rPr>
      </w:pPr>
      <w:r w:rsidRPr="002E73EE">
        <w:rPr>
          <w:i/>
          <w:iCs/>
          <w:highlight w:val="green"/>
        </w:rPr>
        <w:t>Agreement</w:t>
      </w:r>
      <w:r w:rsidRPr="002E73EE">
        <w:rPr>
          <w:i/>
          <w:iCs/>
        </w:rPr>
        <w:t>: Focus study on t</w:t>
      </w:r>
      <w:r w:rsidRPr="002E73EE">
        <w:rPr>
          <w:i/>
          <w:iCs/>
          <w:color w:val="000000"/>
        </w:rPr>
        <w:t>he following for new reporting Case 1:</w:t>
      </w:r>
    </w:p>
    <w:p w14:paraId="4002F618" w14:textId="77777777" w:rsidR="002E73EE" w:rsidRPr="002E73EE" w:rsidRDefault="002E73EE" w:rsidP="002E73EE">
      <w:pPr>
        <w:pStyle w:val="ListParagraph"/>
        <w:numPr>
          <w:ilvl w:val="0"/>
          <w:numId w:val="23"/>
        </w:numPr>
        <w:spacing w:line="252" w:lineRule="auto"/>
        <w:ind w:left="1440"/>
        <w:contextualSpacing w:val="0"/>
        <w:rPr>
          <w:i/>
          <w:iCs/>
        </w:rPr>
      </w:pPr>
      <w:r w:rsidRPr="002E73EE">
        <w:rPr>
          <w:i/>
          <w:iCs/>
        </w:rPr>
        <w:t xml:space="preserve">Reporting of new metric, where new metric shall be determined based on network configured channel and interference measurement interval (multiple CMR and/or IMR instances) to enable accurate MCS selection. </w:t>
      </w:r>
    </w:p>
    <w:p w14:paraId="4CA7BBE1" w14:textId="77777777" w:rsidR="002E73EE" w:rsidRPr="002E73EE" w:rsidRDefault="002E73EE" w:rsidP="002E73EE">
      <w:pPr>
        <w:pStyle w:val="ListParagraph"/>
        <w:numPr>
          <w:ilvl w:val="1"/>
          <w:numId w:val="23"/>
        </w:numPr>
        <w:spacing w:after="0" w:line="252" w:lineRule="auto"/>
        <w:ind w:left="2160"/>
        <w:contextualSpacing w:val="0"/>
        <w:rPr>
          <w:i/>
          <w:iCs/>
        </w:rPr>
      </w:pPr>
      <w:proofErr w:type="spellStart"/>
      <w:r w:rsidRPr="002E73EE">
        <w:rPr>
          <w:i/>
          <w:iCs/>
        </w:rPr>
        <w:t>Downselect</w:t>
      </w:r>
      <w:proofErr w:type="spellEnd"/>
      <w:r w:rsidRPr="002E73EE">
        <w:rPr>
          <w:i/>
          <w:iCs/>
        </w:rPr>
        <w:t xml:space="preserve"> by RAN1#105 to </w:t>
      </w:r>
      <w:r w:rsidRPr="002E73EE">
        <w:rPr>
          <w:i/>
          <w:iCs/>
          <w:color w:val="FF0000"/>
        </w:rPr>
        <w:t xml:space="preserve">at most </w:t>
      </w:r>
      <w:r w:rsidRPr="002E73EE">
        <w:rPr>
          <w:i/>
          <w:iCs/>
        </w:rPr>
        <w:t>a single method from the following options:</w:t>
      </w:r>
    </w:p>
    <w:p w14:paraId="59DF7350" w14:textId="77777777" w:rsidR="002E73EE" w:rsidRPr="002E73EE" w:rsidRDefault="002E73EE" w:rsidP="002E73EE">
      <w:pPr>
        <w:pStyle w:val="ListParagraph"/>
        <w:spacing w:line="252" w:lineRule="auto"/>
        <w:ind w:left="1520"/>
        <w:rPr>
          <w:rFonts w:eastAsia="Calibri"/>
          <w:i/>
          <w:iCs/>
        </w:rPr>
      </w:pPr>
    </w:p>
    <w:p w14:paraId="6C57B653" w14:textId="77777777" w:rsidR="002E73EE" w:rsidRPr="002E73EE" w:rsidRDefault="002E73EE" w:rsidP="002E73EE">
      <w:pPr>
        <w:pStyle w:val="ListParagraph"/>
        <w:numPr>
          <w:ilvl w:val="2"/>
          <w:numId w:val="23"/>
        </w:numPr>
        <w:spacing w:line="252" w:lineRule="auto"/>
        <w:ind w:left="2880"/>
        <w:contextualSpacing w:val="0"/>
        <w:rPr>
          <w:rFonts w:ascii="Calibri" w:eastAsia="Times New Roman" w:hAnsi="Calibri" w:cs="Calibri"/>
          <w:i/>
          <w:iCs/>
        </w:rPr>
      </w:pPr>
      <w:r w:rsidRPr="002E73EE">
        <w:rPr>
          <w:i/>
          <w:iCs/>
        </w:rPr>
        <w:t xml:space="preserve">Mean-CQI/SINR and </w:t>
      </w:r>
      <w:proofErr w:type="spellStart"/>
      <w:r w:rsidRPr="002E73EE">
        <w:rPr>
          <w:i/>
          <w:iCs/>
        </w:rPr>
        <w:t>stdev</w:t>
      </w:r>
      <w:proofErr w:type="spellEnd"/>
      <w:r w:rsidRPr="002E73EE">
        <w:rPr>
          <w:i/>
          <w:iCs/>
        </w:rPr>
        <w:t>-CQI/SINR (FFS details)</w:t>
      </w:r>
    </w:p>
    <w:p w14:paraId="7BFA8E6D" w14:textId="77777777" w:rsidR="002E73EE" w:rsidRPr="002E73EE" w:rsidRDefault="002E73EE" w:rsidP="002E73EE">
      <w:pPr>
        <w:pStyle w:val="ListParagraph"/>
        <w:numPr>
          <w:ilvl w:val="2"/>
          <w:numId w:val="23"/>
        </w:numPr>
        <w:spacing w:line="252" w:lineRule="auto"/>
        <w:ind w:left="2880"/>
        <w:contextualSpacing w:val="0"/>
        <w:rPr>
          <w:i/>
          <w:iCs/>
        </w:rPr>
      </w:pPr>
      <w:r w:rsidRPr="002E73EE">
        <w:rPr>
          <w:i/>
          <w:iCs/>
        </w:rPr>
        <w:t>CSI based on worst IMR occasion (FFS details)</w:t>
      </w:r>
    </w:p>
    <w:p w14:paraId="5636EA9A" w14:textId="77777777" w:rsidR="002E73EE" w:rsidRPr="002E73EE" w:rsidRDefault="002E73EE" w:rsidP="002E73EE">
      <w:pPr>
        <w:pStyle w:val="ListParagraph"/>
        <w:numPr>
          <w:ilvl w:val="2"/>
          <w:numId w:val="23"/>
        </w:numPr>
        <w:spacing w:line="252" w:lineRule="auto"/>
        <w:ind w:left="2880"/>
        <w:contextualSpacing w:val="0"/>
        <w:rPr>
          <w:i/>
          <w:iCs/>
        </w:rPr>
      </w:pPr>
      <w:r w:rsidRPr="002E73EE">
        <w:rPr>
          <w:i/>
          <w:iCs/>
          <w:color w:val="FF0000"/>
        </w:rPr>
        <w:t>Interference standard deviation (FFS details)</w:t>
      </w:r>
    </w:p>
    <w:p w14:paraId="13D2EB4B" w14:textId="77777777" w:rsidR="002E73EE" w:rsidRPr="002E73EE" w:rsidRDefault="002E73EE" w:rsidP="002E73EE">
      <w:pPr>
        <w:pStyle w:val="ListParagraph"/>
        <w:numPr>
          <w:ilvl w:val="2"/>
          <w:numId w:val="23"/>
        </w:numPr>
        <w:spacing w:line="252" w:lineRule="auto"/>
        <w:ind w:left="2880"/>
        <w:contextualSpacing w:val="0"/>
        <w:rPr>
          <w:i/>
          <w:iCs/>
        </w:rPr>
      </w:pPr>
      <w:r w:rsidRPr="002E73EE">
        <w:rPr>
          <w:i/>
          <w:iCs/>
          <w:color w:val="FF0000"/>
        </w:rPr>
        <w:t>Worst-M CQI (FFS details)</w:t>
      </w:r>
    </w:p>
    <w:p w14:paraId="1D994B74" w14:textId="77777777" w:rsidR="002E73EE" w:rsidRPr="002E73EE" w:rsidRDefault="002E73EE" w:rsidP="002E73EE">
      <w:pPr>
        <w:pStyle w:val="ListParagraph"/>
        <w:numPr>
          <w:ilvl w:val="1"/>
          <w:numId w:val="23"/>
        </w:numPr>
        <w:spacing w:line="252" w:lineRule="auto"/>
        <w:ind w:left="2160"/>
        <w:contextualSpacing w:val="0"/>
        <w:rPr>
          <w:i/>
          <w:iCs/>
        </w:rPr>
      </w:pPr>
      <w:r w:rsidRPr="002E73EE">
        <w:rPr>
          <w:i/>
          <w:iCs/>
        </w:rPr>
        <w:t>FFS: Whether network configured channel and interference measurement interval can also be applied to existing CSI type</w:t>
      </w:r>
    </w:p>
    <w:p w14:paraId="1CF06541" w14:textId="77777777" w:rsidR="002E73EE" w:rsidRPr="002E73EE" w:rsidRDefault="002E73EE" w:rsidP="002E73EE">
      <w:pPr>
        <w:pStyle w:val="ListParagraph"/>
        <w:numPr>
          <w:ilvl w:val="0"/>
          <w:numId w:val="23"/>
        </w:numPr>
        <w:spacing w:line="252" w:lineRule="auto"/>
        <w:ind w:left="1440"/>
        <w:contextualSpacing w:val="0"/>
        <w:rPr>
          <w:i/>
          <w:iCs/>
          <w:color w:val="FF0000"/>
        </w:rPr>
      </w:pPr>
      <w:r w:rsidRPr="002E73EE">
        <w:rPr>
          <w:i/>
          <w:iCs/>
        </w:rPr>
        <w:t xml:space="preserve">Increasing granularity of </w:t>
      </w:r>
      <w:proofErr w:type="spellStart"/>
      <w:r w:rsidRPr="002E73EE">
        <w:rPr>
          <w:i/>
          <w:iCs/>
        </w:rPr>
        <w:t>subband</w:t>
      </w:r>
      <w:proofErr w:type="spellEnd"/>
      <w:r w:rsidRPr="002E73EE">
        <w:rPr>
          <w:i/>
          <w:iCs/>
        </w:rPr>
        <w:t xml:space="preserve"> CQI (e.g. 3-bits differential </w:t>
      </w:r>
      <w:proofErr w:type="spellStart"/>
      <w:r w:rsidRPr="002E73EE">
        <w:rPr>
          <w:i/>
          <w:iCs/>
        </w:rPr>
        <w:t>subband</w:t>
      </w:r>
      <w:proofErr w:type="spellEnd"/>
      <w:r w:rsidRPr="002E73EE">
        <w:rPr>
          <w:i/>
          <w:iCs/>
        </w:rPr>
        <w:t xml:space="preserve"> CQI or 4-bits full </w:t>
      </w:r>
      <w:proofErr w:type="spellStart"/>
      <w:r w:rsidRPr="002E73EE">
        <w:rPr>
          <w:i/>
          <w:iCs/>
        </w:rPr>
        <w:t>subband</w:t>
      </w:r>
      <w:proofErr w:type="spellEnd"/>
      <w:r w:rsidRPr="002E73EE">
        <w:rPr>
          <w:i/>
          <w:iCs/>
        </w:rPr>
        <w:t xml:space="preserve"> CQI).</w:t>
      </w:r>
    </w:p>
    <w:p w14:paraId="4D69265C" w14:textId="77777777" w:rsidR="002E73EE" w:rsidRPr="002E73EE" w:rsidRDefault="002E73EE" w:rsidP="002E73EE">
      <w:pPr>
        <w:pStyle w:val="ListParagraph"/>
        <w:numPr>
          <w:ilvl w:val="0"/>
          <w:numId w:val="23"/>
        </w:numPr>
        <w:spacing w:line="252" w:lineRule="auto"/>
        <w:ind w:left="1440"/>
        <w:contextualSpacing w:val="0"/>
        <w:rPr>
          <w:rFonts w:ascii="Calibri" w:hAnsi="Calibri" w:cs="Calibri"/>
          <w:i/>
          <w:iCs/>
        </w:rPr>
      </w:pPr>
      <w:r w:rsidRPr="002E73EE">
        <w:rPr>
          <w:i/>
          <w:iCs/>
        </w:rPr>
        <w:t>Updating only CQI in a report, where CQI is conditioned on a previous instance in which RI/PMI/(CRI) is updated.</w:t>
      </w:r>
    </w:p>
    <w:p w14:paraId="55F176A8" w14:textId="77777777" w:rsidR="002E73EE" w:rsidRPr="002E73EE" w:rsidRDefault="002E73EE" w:rsidP="002E73EE">
      <w:pPr>
        <w:pStyle w:val="ListParagraph"/>
        <w:numPr>
          <w:ilvl w:val="1"/>
          <w:numId w:val="23"/>
        </w:numPr>
        <w:spacing w:line="252" w:lineRule="auto"/>
        <w:ind w:left="2160"/>
        <w:contextualSpacing w:val="0"/>
        <w:rPr>
          <w:i/>
          <w:iCs/>
          <w:color w:val="FF0000"/>
        </w:rPr>
      </w:pPr>
      <w:r w:rsidRPr="002E73EE">
        <w:rPr>
          <w:i/>
          <w:iCs/>
          <w:color w:val="FF0000"/>
        </w:rPr>
        <w:t xml:space="preserve">Applicable for same reporting quantity as R16 for CQI. </w:t>
      </w:r>
    </w:p>
    <w:p w14:paraId="2B61DFB4" w14:textId="77777777" w:rsidR="002E73EE" w:rsidRPr="002E73EE" w:rsidRDefault="002E73EE" w:rsidP="002E73EE">
      <w:pPr>
        <w:pStyle w:val="ListParagraph"/>
        <w:numPr>
          <w:ilvl w:val="1"/>
          <w:numId w:val="23"/>
        </w:numPr>
        <w:spacing w:line="252" w:lineRule="auto"/>
        <w:ind w:left="2160"/>
        <w:contextualSpacing w:val="0"/>
        <w:rPr>
          <w:i/>
          <w:iCs/>
        </w:rPr>
      </w:pPr>
      <w:r w:rsidRPr="002E73EE">
        <w:rPr>
          <w:i/>
          <w:iCs/>
        </w:rPr>
        <w:t>FFS: Whether network configured channel and interference measurement interval can also be applied</w:t>
      </w:r>
    </w:p>
    <w:p w14:paraId="64CFB99B" w14:textId="77777777" w:rsidR="002E73EE" w:rsidRPr="002E73EE" w:rsidRDefault="002E73EE" w:rsidP="002E73EE">
      <w:pPr>
        <w:pStyle w:val="ListParagraph"/>
        <w:numPr>
          <w:ilvl w:val="1"/>
          <w:numId w:val="23"/>
        </w:numPr>
        <w:spacing w:line="252" w:lineRule="auto"/>
        <w:ind w:left="2160"/>
        <w:contextualSpacing w:val="0"/>
        <w:rPr>
          <w:i/>
          <w:iCs/>
        </w:rPr>
      </w:pPr>
      <w:r w:rsidRPr="002E73EE">
        <w:rPr>
          <w:i/>
          <w:iCs/>
        </w:rPr>
        <w:t>FFS: Whether RI/PMI/(CRI) is transmitted in a report where only CQI is updated</w:t>
      </w:r>
    </w:p>
    <w:p w14:paraId="10105883" w14:textId="77777777" w:rsidR="002E73EE" w:rsidRPr="002E73EE" w:rsidRDefault="002E73EE" w:rsidP="002E73EE">
      <w:pPr>
        <w:pStyle w:val="ListParagraph"/>
        <w:numPr>
          <w:ilvl w:val="1"/>
          <w:numId w:val="23"/>
        </w:numPr>
        <w:spacing w:line="252" w:lineRule="auto"/>
        <w:ind w:left="2160"/>
        <w:contextualSpacing w:val="0"/>
        <w:rPr>
          <w:i/>
          <w:iCs/>
          <w:strike/>
          <w:color w:val="FF0000"/>
        </w:rPr>
      </w:pPr>
      <w:r w:rsidRPr="002E73EE">
        <w:rPr>
          <w:i/>
          <w:iCs/>
          <w:strike/>
          <w:color w:val="FF0000"/>
        </w:rPr>
        <w:t>FFS: how to report the updated CQI</w:t>
      </w:r>
    </w:p>
    <w:p w14:paraId="5E204DF7" w14:textId="77777777" w:rsidR="002E73EE" w:rsidRPr="002E73EE" w:rsidRDefault="002E73EE" w:rsidP="002E73EE">
      <w:pPr>
        <w:pStyle w:val="ListParagraph"/>
        <w:numPr>
          <w:ilvl w:val="1"/>
          <w:numId w:val="23"/>
        </w:numPr>
        <w:spacing w:line="252" w:lineRule="auto"/>
        <w:ind w:left="2160"/>
        <w:contextualSpacing w:val="0"/>
        <w:rPr>
          <w:i/>
          <w:iCs/>
        </w:rPr>
      </w:pPr>
      <w:r w:rsidRPr="002E73EE">
        <w:rPr>
          <w:i/>
          <w:iCs/>
        </w:rPr>
        <w:lastRenderedPageBreak/>
        <w:t xml:space="preserve">FFS: whether the CQI processing time can be </w:t>
      </w:r>
      <w:r w:rsidRPr="002E73EE">
        <w:rPr>
          <w:i/>
          <w:iCs/>
          <w:strike/>
        </w:rPr>
        <w:t>is</w:t>
      </w:r>
      <w:r w:rsidRPr="002E73EE">
        <w:rPr>
          <w:i/>
          <w:iCs/>
        </w:rPr>
        <w:t xml:space="preserve"> reduced compared to Rel-16 CSI processing delay</w:t>
      </w:r>
    </w:p>
    <w:p w14:paraId="1B115BA7" w14:textId="77777777" w:rsidR="00F20795" w:rsidRPr="00F20795" w:rsidRDefault="00F20795" w:rsidP="00F20795">
      <w:pPr>
        <w:ind w:left="720"/>
        <w:rPr>
          <w:rFonts w:ascii="Calibri" w:hAnsi="Calibri" w:cs="Calibri"/>
          <w:i/>
          <w:iCs/>
          <w:szCs w:val="22"/>
        </w:rPr>
      </w:pPr>
      <w:r w:rsidRPr="00F20795">
        <w:rPr>
          <w:i/>
          <w:iCs/>
        </w:rPr>
        <w:t> </w:t>
      </w:r>
    </w:p>
    <w:p w14:paraId="422FF475" w14:textId="2BAE4A7C" w:rsidR="00855F39"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2E73EE">
        <w:rPr>
          <w:lang w:val="en-US" w:eastAsia="x-none"/>
        </w:rPr>
        <w:t>CSI enhancement for URLLC</w:t>
      </w:r>
      <w:r w:rsidR="00FA7A77">
        <w:rPr>
          <w:lang w:val="en-US" w:eastAsia="x-none"/>
        </w:rPr>
        <w:t>.</w:t>
      </w:r>
    </w:p>
    <w:p w14:paraId="0BC2A6A2" w14:textId="77777777" w:rsidR="00890F4C" w:rsidRPr="00FA7A77" w:rsidRDefault="00890F4C" w:rsidP="00855F39">
      <w:pPr>
        <w:rPr>
          <w:lang w:val="en-US" w:eastAsia="x-none"/>
        </w:rPr>
      </w:pPr>
      <w:bookmarkStart w:id="2" w:name="_Hlk68192600"/>
    </w:p>
    <w:p w14:paraId="1C8EA0B4" w14:textId="2FF71B75" w:rsidR="007A0C86" w:rsidRDefault="002E73EE"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bookmarkEnd w:id="2"/>
    <w:p w14:paraId="2922009E" w14:textId="28CD55F7" w:rsidR="00042C53" w:rsidRDefault="00042C53" w:rsidP="00042C53"/>
    <w:p w14:paraId="68679D99" w14:textId="4AE6C3D4" w:rsidR="002E73EE" w:rsidRDefault="002E73EE" w:rsidP="002E73EE">
      <w:pPr>
        <w:pStyle w:val="Heading2"/>
        <w:numPr>
          <w:ilvl w:val="1"/>
          <w:numId w:val="5"/>
        </w:numPr>
      </w:pPr>
      <w:r>
        <w:t>Case 1 CSI Enhancements</w:t>
      </w:r>
    </w:p>
    <w:p w14:paraId="0DB3EF0F" w14:textId="6CF3D8EE" w:rsidR="002E73EE" w:rsidRDefault="002E73EE" w:rsidP="002E73EE">
      <w:r>
        <w:t>For Case 1 CSI enhancements the following schemes were agreed for further considerations</w:t>
      </w:r>
      <w:r w:rsidR="006672D5">
        <w:t xml:space="preserve"> [1]</w:t>
      </w:r>
      <w:r>
        <w:t>:</w:t>
      </w:r>
    </w:p>
    <w:p w14:paraId="6903DD9B" w14:textId="1413A482" w:rsidR="008E1D7C" w:rsidRDefault="008E1D7C" w:rsidP="008E1D7C">
      <w:pPr>
        <w:pStyle w:val="ListParagraph"/>
        <w:numPr>
          <w:ilvl w:val="0"/>
          <w:numId w:val="24"/>
        </w:numPr>
      </w:pPr>
      <w:r w:rsidRPr="008E1D7C">
        <w:rPr>
          <w:b/>
          <w:bCs/>
        </w:rPr>
        <w:t>Scheme 1:</w:t>
      </w:r>
      <w:r>
        <w:t xml:space="preserve"> Mean-CQI/SINR and </w:t>
      </w:r>
      <w:proofErr w:type="spellStart"/>
      <w:r>
        <w:t>stdev</w:t>
      </w:r>
      <w:proofErr w:type="spellEnd"/>
      <w:r>
        <w:t>-CQI/SINR</w:t>
      </w:r>
    </w:p>
    <w:p w14:paraId="54596371" w14:textId="509AD62F" w:rsidR="008E1D7C" w:rsidRDefault="008E1D7C" w:rsidP="008E1D7C">
      <w:pPr>
        <w:pStyle w:val="ListParagraph"/>
        <w:numPr>
          <w:ilvl w:val="0"/>
          <w:numId w:val="24"/>
        </w:numPr>
      </w:pPr>
      <w:r w:rsidRPr="008E1D7C">
        <w:rPr>
          <w:b/>
          <w:bCs/>
        </w:rPr>
        <w:t>Scheme 2:</w:t>
      </w:r>
      <w:r>
        <w:t xml:space="preserve"> CSI based on worst IMR occasion</w:t>
      </w:r>
    </w:p>
    <w:p w14:paraId="0448C19E" w14:textId="5F17A370" w:rsidR="008E1D7C" w:rsidRDefault="008E1D7C" w:rsidP="008E1D7C">
      <w:pPr>
        <w:pStyle w:val="ListParagraph"/>
        <w:numPr>
          <w:ilvl w:val="0"/>
          <w:numId w:val="24"/>
        </w:numPr>
      </w:pPr>
      <w:r w:rsidRPr="008E1D7C">
        <w:rPr>
          <w:b/>
          <w:bCs/>
        </w:rPr>
        <w:t>Scheme 3:</w:t>
      </w:r>
      <w:r>
        <w:t xml:space="preserve"> Interference standard deviation</w:t>
      </w:r>
    </w:p>
    <w:p w14:paraId="2EF016FF" w14:textId="28E5DBC7" w:rsidR="002E73EE" w:rsidRDefault="008E1D7C" w:rsidP="008E1D7C">
      <w:pPr>
        <w:pStyle w:val="ListParagraph"/>
        <w:numPr>
          <w:ilvl w:val="0"/>
          <w:numId w:val="24"/>
        </w:numPr>
      </w:pPr>
      <w:r w:rsidRPr="008E1D7C">
        <w:rPr>
          <w:b/>
          <w:bCs/>
        </w:rPr>
        <w:t>Scheme 4:</w:t>
      </w:r>
      <w:r>
        <w:t xml:space="preserve"> Worst-M CQI</w:t>
      </w:r>
    </w:p>
    <w:p w14:paraId="1599F547" w14:textId="6190BA44" w:rsidR="008E1D7C" w:rsidRDefault="008E1D7C" w:rsidP="008E1D7C">
      <w:pPr>
        <w:pStyle w:val="ListParagraph"/>
        <w:numPr>
          <w:ilvl w:val="0"/>
          <w:numId w:val="24"/>
        </w:numPr>
      </w:pPr>
      <w:r w:rsidRPr="008E1D7C">
        <w:rPr>
          <w:b/>
          <w:bCs/>
        </w:rPr>
        <w:t>Scheme 5:</w:t>
      </w:r>
      <w:r>
        <w:t xml:space="preserve"> Increasing granularity of </w:t>
      </w:r>
      <w:proofErr w:type="spellStart"/>
      <w:r>
        <w:t>subband</w:t>
      </w:r>
      <w:proofErr w:type="spellEnd"/>
      <w:r>
        <w:t xml:space="preserve"> CQI (e.g. 3-bits differential </w:t>
      </w:r>
      <w:proofErr w:type="spellStart"/>
      <w:r>
        <w:t>subband</w:t>
      </w:r>
      <w:proofErr w:type="spellEnd"/>
      <w:r>
        <w:t xml:space="preserve"> CQI or 4-bits full </w:t>
      </w:r>
      <w:proofErr w:type="spellStart"/>
      <w:r>
        <w:t>subband</w:t>
      </w:r>
      <w:proofErr w:type="spellEnd"/>
      <w:r>
        <w:t xml:space="preserve"> CQI).</w:t>
      </w:r>
    </w:p>
    <w:p w14:paraId="116EB2F5" w14:textId="4C3A1D27" w:rsidR="008E1D7C" w:rsidRDefault="008E1D7C" w:rsidP="008E1D7C">
      <w:pPr>
        <w:pStyle w:val="ListParagraph"/>
        <w:numPr>
          <w:ilvl w:val="0"/>
          <w:numId w:val="24"/>
        </w:numPr>
      </w:pPr>
      <w:r w:rsidRPr="008E1D7C">
        <w:rPr>
          <w:b/>
          <w:bCs/>
        </w:rPr>
        <w:t>Scheme 6:</w:t>
      </w:r>
      <w:r>
        <w:t xml:space="preserve"> Updating only CQI in a report, where CQI is conditioned on a previous instance in which RI/PMI/(CRI) is updated.</w:t>
      </w:r>
    </w:p>
    <w:p w14:paraId="07810336" w14:textId="7B64EC48" w:rsidR="008E1D7C" w:rsidRDefault="008E1D7C" w:rsidP="008E1D7C"/>
    <w:p w14:paraId="69C972CD" w14:textId="21F9B3EC" w:rsidR="008E1D7C" w:rsidRDefault="00692317" w:rsidP="008E1D7C">
      <w:r>
        <w:t xml:space="preserve">Scheme 1 reports the mean and standard deviation of the CQI/SINR so that the </w:t>
      </w:r>
      <w:proofErr w:type="spellStart"/>
      <w:r>
        <w:t>gNB</w:t>
      </w:r>
      <w:proofErr w:type="spellEnd"/>
      <w:r>
        <w:t xml:space="preserve"> is aware of the distribution of the CQI/SINR and therefore </w:t>
      </w:r>
      <w:proofErr w:type="gramStart"/>
      <w:r>
        <w:t>is able to</w:t>
      </w:r>
      <w:proofErr w:type="gramEnd"/>
      <w:r>
        <w:t xml:space="preserve"> estimate the worse</w:t>
      </w:r>
      <w:r w:rsidR="00B73265">
        <w:t>/best</w:t>
      </w:r>
      <w:r>
        <w:t xml:space="preserve"> CQI/SINR that the UE may experience.  </w:t>
      </w:r>
      <w:r w:rsidR="008C1CC1">
        <w:t xml:space="preserve">It was noted </w:t>
      </w:r>
      <w:r>
        <w:t xml:space="preserve">that </w:t>
      </w:r>
      <w:r w:rsidR="008C1CC1">
        <w:t xml:space="preserve">the </w:t>
      </w:r>
      <w:proofErr w:type="spellStart"/>
      <w:r w:rsidR="008C1CC1">
        <w:t>gNB</w:t>
      </w:r>
      <w:proofErr w:type="spellEnd"/>
      <w:r w:rsidR="008C1CC1">
        <w:t xml:space="preserve"> can collect CQI/SINR reports from the UE and calculate the mean and standard </w:t>
      </w:r>
      <w:proofErr w:type="gramStart"/>
      <w:r w:rsidR="008C1CC1">
        <w:t>deviation</w:t>
      </w:r>
      <w:proofErr w:type="gramEnd"/>
      <w:r w:rsidR="008C1CC1">
        <w:t xml:space="preserve"> but it was argued that this would lead to </w:t>
      </w:r>
      <w:r w:rsidR="00465067">
        <w:t xml:space="preserve">an </w:t>
      </w:r>
      <w:r w:rsidR="008C1CC1">
        <w:t>excessive number of CQI/SINR reports and measurements at the UE side.  Hence, sending the mean and standard deviation is a way to compress multiple CQI/SINR measurements into a single report.</w:t>
      </w:r>
      <w:r w:rsidR="00286D51">
        <w:t xml:space="preserve">  We therefore see some benefit in this scheme.</w:t>
      </w:r>
    </w:p>
    <w:p w14:paraId="74527765" w14:textId="6CB2A63A" w:rsidR="00286D51" w:rsidRPr="00286D51" w:rsidRDefault="00286D51" w:rsidP="008E1D7C">
      <w:pPr>
        <w:rPr>
          <w:b/>
          <w:bCs/>
        </w:rPr>
      </w:pPr>
      <w:r w:rsidRPr="00286D51">
        <w:rPr>
          <w:b/>
          <w:bCs/>
        </w:rPr>
        <w:t>Proposal 1: Support reporting mean and standard deviation of CQI/SINR.</w:t>
      </w:r>
    </w:p>
    <w:p w14:paraId="1C9FE653" w14:textId="3D53BD51" w:rsidR="00286D51" w:rsidRDefault="00286D51" w:rsidP="008E1D7C"/>
    <w:p w14:paraId="5092AAFC" w14:textId="03781FDB" w:rsidR="00286D51" w:rsidRDefault="00286D51" w:rsidP="008E1D7C">
      <w:r>
        <w:t>S</w:t>
      </w:r>
      <w:r w:rsidR="005E7D65">
        <w:t xml:space="preserve">cheme 2 </w:t>
      </w:r>
      <w:r w:rsidR="000B6F39">
        <w:t xml:space="preserve">reports CSI based on the worst IMR occasion.  This can be captured in the CQI/SINR statistics provided in Scheme 1 since the standard deviation can give the </w:t>
      </w:r>
      <w:proofErr w:type="spellStart"/>
      <w:r w:rsidR="000B6F39">
        <w:t>gNB</w:t>
      </w:r>
      <w:proofErr w:type="spellEnd"/>
      <w:r w:rsidR="000B6F39">
        <w:t xml:space="preserve"> a picture of the </w:t>
      </w:r>
      <w:r w:rsidR="00AB7A2A">
        <w:t xml:space="preserve">worst </w:t>
      </w:r>
      <w:r w:rsidR="000B6F39">
        <w:t>CQI/SINR condition.  Since Scheme 1 provides more information than just the worst CSI, we do not see a need for Scheme 2.</w:t>
      </w:r>
    </w:p>
    <w:p w14:paraId="296F1BA8" w14:textId="2266C68F" w:rsidR="000B6F39" w:rsidRPr="002C584A" w:rsidRDefault="002C584A" w:rsidP="008E1D7C">
      <w:pPr>
        <w:rPr>
          <w:b/>
          <w:bCs/>
        </w:rPr>
      </w:pPr>
      <w:r w:rsidRPr="002C584A">
        <w:rPr>
          <w:b/>
          <w:bCs/>
        </w:rPr>
        <w:t>Proposal 2: Do not support new CSI reporting based on worst IMR occasion.</w:t>
      </w:r>
    </w:p>
    <w:p w14:paraId="5BDC13C5" w14:textId="24EF52C5" w:rsidR="002C584A" w:rsidRDefault="002C584A" w:rsidP="008E1D7C"/>
    <w:p w14:paraId="0C47201E" w14:textId="6388FF79" w:rsidR="002C584A" w:rsidRDefault="002C584A" w:rsidP="008E1D7C">
      <w:r>
        <w:t>Scheme 3</w:t>
      </w:r>
      <w:r w:rsidR="00087A3B">
        <w:t xml:space="preserve"> reports the standard deviation of the interference</w:t>
      </w:r>
      <w:r w:rsidR="00E15DF7">
        <w:t xml:space="preserve"> [2]</w:t>
      </w:r>
      <w:r w:rsidR="00087A3B">
        <w:t>.  Without the mean value, there is little benefit in reporting only the standard deviation.  Furthermore, similar information can be obtained from Scheme 1.  Hence, we do not see the need to include this scheme.</w:t>
      </w:r>
    </w:p>
    <w:p w14:paraId="7A9107A4" w14:textId="17851E20" w:rsidR="00087A3B" w:rsidRPr="00087A3B" w:rsidRDefault="00087A3B" w:rsidP="008E1D7C">
      <w:pPr>
        <w:rPr>
          <w:b/>
          <w:bCs/>
        </w:rPr>
      </w:pPr>
      <w:r w:rsidRPr="00087A3B">
        <w:rPr>
          <w:b/>
          <w:bCs/>
        </w:rPr>
        <w:t>Proposal 3: Do not support new CSI reporting on interference standard deviation.</w:t>
      </w:r>
    </w:p>
    <w:p w14:paraId="68E17056" w14:textId="2B9F94B8" w:rsidR="00087A3B" w:rsidRDefault="00087A3B" w:rsidP="008E1D7C"/>
    <w:p w14:paraId="24192BE4" w14:textId="7B7EBB30" w:rsidR="00087A3B" w:rsidRDefault="00087A3B" w:rsidP="008E1D7C">
      <w:r>
        <w:t>Scheme 4</w:t>
      </w:r>
      <w:r w:rsidR="001E507C">
        <w:t xml:space="preserve"> reports the worst M sub-band CQI </w:t>
      </w:r>
      <w:r w:rsidR="001979C0">
        <w:t>[</w:t>
      </w:r>
      <w:r w:rsidR="00E15DF7">
        <w:t>3</w:t>
      </w:r>
      <w:r w:rsidR="001979C0">
        <w:t xml:space="preserve">] so that the </w:t>
      </w:r>
      <w:proofErr w:type="spellStart"/>
      <w:r w:rsidR="001979C0">
        <w:t>gNB</w:t>
      </w:r>
      <w:proofErr w:type="spellEnd"/>
      <w:r w:rsidR="001979C0">
        <w:t xml:space="preserve"> is aware of the worst condition across the frequency domain which can help the </w:t>
      </w:r>
      <w:proofErr w:type="spellStart"/>
      <w:r w:rsidR="001979C0">
        <w:t>gNB</w:t>
      </w:r>
      <w:proofErr w:type="spellEnd"/>
      <w:r w:rsidR="001979C0">
        <w:t xml:space="preserve"> in either avoiding PRBs in these M sub-bands or schedule conservatively.</w:t>
      </w:r>
      <w:r w:rsidR="00E15DF7">
        <w:t xml:space="preserve">  This information can be obtained from </w:t>
      </w:r>
      <w:r w:rsidR="00661EC5">
        <w:t xml:space="preserve">the existing </w:t>
      </w:r>
      <w:r w:rsidR="00E15DF7">
        <w:t>sub-band CQI reporting.  However, sub-band CQI reporting has a lower granularity and therefore, we can consider increasing the granularity of sub-band CQI reporting as proposed in Scheme 5.  Hence this scheme can be considered together with Scheme 5.</w:t>
      </w:r>
    </w:p>
    <w:p w14:paraId="7AEF3BD1" w14:textId="2C6C862E" w:rsidR="00E15DF7" w:rsidRPr="00E15DF7" w:rsidRDefault="00E15DF7" w:rsidP="008E1D7C">
      <w:pPr>
        <w:rPr>
          <w:b/>
          <w:bCs/>
        </w:rPr>
      </w:pPr>
      <w:r w:rsidRPr="00E15DF7">
        <w:rPr>
          <w:b/>
          <w:bCs/>
        </w:rPr>
        <w:t>Proposal 4: Consider increasing the granularity of sub-band CQI reporting.</w:t>
      </w:r>
    </w:p>
    <w:p w14:paraId="5A6460A3" w14:textId="57DC2375" w:rsidR="00E15DF7" w:rsidRDefault="00E15DF7" w:rsidP="008E1D7C"/>
    <w:p w14:paraId="70BBE549" w14:textId="16208A0B" w:rsidR="00516587" w:rsidRDefault="00E15DF7" w:rsidP="008E1D7C">
      <w:r>
        <w:t xml:space="preserve">Scheme 6 updates CQI only </w:t>
      </w:r>
      <w:r w:rsidR="008F0CF7">
        <w:t xml:space="preserve">in a </w:t>
      </w:r>
      <w:r>
        <w:t xml:space="preserve">report where the CQI is conditioned on a previous instance of </w:t>
      </w:r>
      <w:r w:rsidR="005346D0">
        <w:t xml:space="preserve">a </w:t>
      </w:r>
      <w:r>
        <w:t xml:space="preserve">RI/PMI/(CRI) report.  This scheme proposed </w:t>
      </w:r>
      <w:r w:rsidR="00661EC5">
        <w:t xml:space="preserve">that </w:t>
      </w:r>
      <w:r>
        <w:t xml:space="preserve">the CQI </w:t>
      </w:r>
      <w:r w:rsidR="00661EC5">
        <w:t xml:space="preserve">is </w:t>
      </w:r>
      <w:r>
        <w:t xml:space="preserve">derived from CSI-IM </w:t>
      </w:r>
      <w:r w:rsidR="00661EC5">
        <w:t xml:space="preserve">only </w:t>
      </w:r>
      <w:r>
        <w:t xml:space="preserve">instead of CSI-RS and CSI-IM as in the legacy method that reports CQI and RI/PMI/(CRI).  It was noted in [1] that the results presented </w:t>
      </w:r>
      <w:r w:rsidR="00661EC5">
        <w:t xml:space="preserve">in [4] </w:t>
      </w:r>
      <w:r>
        <w:t xml:space="preserve">using this scheme </w:t>
      </w:r>
      <w:r w:rsidR="00661EC5">
        <w:t>have</w:t>
      </w:r>
      <w:r w:rsidR="00516587">
        <w:t xml:space="preserve"> lower percentage of satisfied UE</w:t>
      </w:r>
      <w:r w:rsidR="005346D0">
        <w:t>s</w:t>
      </w:r>
      <w:r w:rsidR="00516587">
        <w:t xml:space="preserve"> and lower resource utilisation compared to Rel-15 methods</w:t>
      </w:r>
      <w:r w:rsidR="00661EC5">
        <w:t>, that is, this scheme performs worse than Rel-15 methods.</w:t>
      </w:r>
      <w:r w:rsidR="00516587">
        <w:t xml:space="preserve">  It was argued that Scheme 6 allows faster CQI processing at the </w:t>
      </w:r>
      <w:proofErr w:type="gramStart"/>
      <w:r w:rsidR="00516587">
        <w:t>UE</w:t>
      </w:r>
      <w:proofErr w:type="gramEnd"/>
      <w:r w:rsidR="00516587">
        <w:t xml:space="preserve"> but it isn’t clear how much faster the processing can be done and also it is observed in [3] that faster CQI processing does not improve system level performance.  Hence, we do not see a clear benefit in this scheme.</w:t>
      </w:r>
    </w:p>
    <w:p w14:paraId="33491BF7" w14:textId="530DBCD5" w:rsidR="00E15DF7" w:rsidRPr="00516587" w:rsidRDefault="00516587" w:rsidP="008E1D7C">
      <w:pPr>
        <w:rPr>
          <w:b/>
          <w:bCs/>
        </w:rPr>
      </w:pPr>
      <w:r w:rsidRPr="00516587">
        <w:rPr>
          <w:b/>
          <w:bCs/>
        </w:rPr>
        <w:t>Proposal 5: Do not support new CQI only update that is conditioned on previous RI/PMI/(CRI) report instance.</w:t>
      </w:r>
    </w:p>
    <w:p w14:paraId="1D2CDC79" w14:textId="77777777" w:rsidR="00E15DF7" w:rsidRDefault="00E15DF7" w:rsidP="008E1D7C"/>
    <w:p w14:paraId="65A90DED" w14:textId="7CBFC18B" w:rsidR="00516587" w:rsidRDefault="00516587" w:rsidP="00516587">
      <w:pPr>
        <w:pStyle w:val="Heading2"/>
        <w:numPr>
          <w:ilvl w:val="1"/>
          <w:numId w:val="5"/>
        </w:numPr>
      </w:pPr>
      <w:r>
        <w:t>Case 2 CSI Enhancements</w:t>
      </w:r>
    </w:p>
    <w:p w14:paraId="67F46DA8" w14:textId="473C91FF" w:rsidR="00EA664A" w:rsidRDefault="00F26519" w:rsidP="00516587">
      <w:r>
        <w:t>The only scheme in Case 2 CSI enhancement being considered is the reporting of delta CQI/MCS.</w:t>
      </w:r>
      <w:r w:rsidR="00FE4C19">
        <w:t xml:space="preserve">  Here the UE reports the difference between the CQI/MCS of the scheduled PDSCH and the CQI/MCS required for that PDSCH in order to achieve a target BLER, e.g. 10</w:t>
      </w:r>
      <w:r w:rsidR="00FE4C19" w:rsidRPr="00FE4C19">
        <w:rPr>
          <w:vertAlign w:val="superscript"/>
        </w:rPr>
        <w:t>-5</w:t>
      </w:r>
      <w:r w:rsidR="00FE4C19">
        <w:t>.</w:t>
      </w:r>
      <w:r w:rsidR="00EA664A">
        <w:t xml:space="preserve">  We consider some aspects of this scheme.</w:t>
      </w:r>
    </w:p>
    <w:p w14:paraId="650273B6" w14:textId="77777777" w:rsidR="00661EC5" w:rsidRDefault="00EA664A" w:rsidP="00516587">
      <w:r>
        <w:t xml:space="preserve">Firstly, </w:t>
      </w:r>
      <w:r w:rsidR="003B0D86">
        <w:t xml:space="preserve">we need to decide whether the UE is reporting delta CQI, delta MCS or both.  CQI is reported by the UE whereas </w:t>
      </w:r>
      <w:proofErr w:type="spellStart"/>
      <w:r w:rsidR="003B0D86">
        <w:t>gNB</w:t>
      </w:r>
      <w:proofErr w:type="spellEnd"/>
      <w:r w:rsidR="003B0D86">
        <w:t xml:space="preserve"> schedules the MCS based on the reported CQI.  There is therefore already some function that maps CQI to MCS at the </w:t>
      </w:r>
      <w:proofErr w:type="spellStart"/>
      <w:r w:rsidR="003B0D86">
        <w:t>gNB</w:t>
      </w:r>
      <w:proofErr w:type="spellEnd"/>
      <w:r w:rsidR="003B0D86">
        <w:t xml:space="preserve"> and </w:t>
      </w:r>
      <w:r w:rsidR="00661EC5">
        <w:t xml:space="preserve">so </w:t>
      </w:r>
      <w:r w:rsidR="003B0D86">
        <w:t xml:space="preserve">we do not think there is a need for the UE to report both CQI and MCS.  </w:t>
      </w:r>
    </w:p>
    <w:p w14:paraId="582C56EF" w14:textId="0F8C385C" w:rsidR="00661EC5" w:rsidRPr="00661EC5" w:rsidRDefault="00661EC5" w:rsidP="00516587">
      <w:pPr>
        <w:rPr>
          <w:b/>
          <w:bCs/>
        </w:rPr>
      </w:pPr>
      <w:r w:rsidRPr="00661EC5">
        <w:rPr>
          <w:b/>
          <w:bCs/>
        </w:rPr>
        <w:t xml:space="preserve">Observation 1: There is no need to report both delta CQI and delta MCS since the </w:t>
      </w:r>
      <w:proofErr w:type="spellStart"/>
      <w:r w:rsidRPr="00661EC5">
        <w:rPr>
          <w:b/>
          <w:bCs/>
        </w:rPr>
        <w:t>gNB</w:t>
      </w:r>
      <w:proofErr w:type="spellEnd"/>
      <w:r w:rsidRPr="00661EC5">
        <w:rPr>
          <w:b/>
          <w:bCs/>
        </w:rPr>
        <w:t xml:space="preserve"> can obtain one unit from another.</w:t>
      </w:r>
    </w:p>
    <w:p w14:paraId="115ADCFE" w14:textId="77777777" w:rsidR="00661EC5" w:rsidRDefault="00661EC5" w:rsidP="00516587"/>
    <w:p w14:paraId="0E18ABF5" w14:textId="00C42EEE" w:rsidR="003B0D86" w:rsidRDefault="003B0D86" w:rsidP="00516587">
      <w:r>
        <w:t xml:space="preserve">In [5] &amp; [6], it is proposed that the UE reports delta MCS </w:t>
      </w:r>
      <w:r w:rsidR="0030595F">
        <w:t xml:space="preserve">since the MCS of the </w:t>
      </w:r>
      <w:r w:rsidR="00661EC5">
        <w:t xml:space="preserve">scheduled </w:t>
      </w:r>
      <w:r w:rsidR="0030595F">
        <w:t xml:space="preserve">PDSCH is already indicated by the </w:t>
      </w:r>
      <w:proofErr w:type="spellStart"/>
      <w:r w:rsidR="0030595F">
        <w:t>gNB</w:t>
      </w:r>
      <w:proofErr w:type="spellEnd"/>
      <w:r w:rsidR="0030595F">
        <w:t xml:space="preserve"> and the UE needs only to work out the required MCS to achieve the target BLER.  If the UE were to report delta CQI, then the UE would need to convert </w:t>
      </w:r>
      <w:r w:rsidR="00BE6EDC">
        <w:t xml:space="preserve">the MCS of </w:t>
      </w:r>
      <w:r w:rsidR="0030595F">
        <w:t xml:space="preserve">the scheduled PDSCH to a CQI value and then work out the CQI required to achieve the target BLER.  Since reporting the delta MCS requires less computation at the UE, we </w:t>
      </w:r>
      <w:proofErr w:type="gramStart"/>
      <w:r w:rsidR="0030595F">
        <w:t>have a preference for</w:t>
      </w:r>
      <w:proofErr w:type="gramEnd"/>
      <w:r w:rsidR="0030595F">
        <w:t xml:space="preserve"> the UE to report only delta MCS.</w:t>
      </w:r>
    </w:p>
    <w:p w14:paraId="40AE3844" w14:textId="60A22FA6" w:rsidR="0030595F" w:rsidRPr="0030595F" w:rsidRDefault="0030595F" w:rsidP="00516587">
      <w:pPr>
        <w:rPr>
          <w:b/>
          <w:bCs/>
        </w:rPr>
      </w:pPr>
      <w:r w:rsidRPr="0030595F">
        <w:rPr>
          <w:b/>
          <w:bCs/>
        </w:rPr>
        <w:t xml:space="preserve">Observation </w:t>
      </w:r>
      <w:r w:rsidR="00661EC5">
        <w:rPr>
          <w:b/>
          <w:bCs/>
        </w:rPr>
        <w:t>2</w:t>
      </w:r>
      <w:r w:rsidRPr="0030595F">
        <w:rPr>
          <w:b/>
          <w:bCs/>
        </w:rPr>
        <w:t>: In reporting delta MCS, the scheduled MCS is already signalled to the UE for the scheduled PDSCH.</w:t>
      </w:r>
      <w:r w:rsidR="001A4253">
        <w:rPr>
          <w:b/>
          <w:bCs/>
        </w:rPr>
        <w:t xml:space="preserve">  On the other hand, in </w:t>
      </w:r>
      <w:r w:rsidRPr="0030595F">
        <w:rPr>
          <w:b/>
          <w:bCs/>
        </w:rPr>
        <w:t>reporting delta CQI, the UE may need to convert the scheduled MCS to a scheduled CQI, which requires additional computation</w:t>
      </w:r>
      <w:r w:rsidR="001A4253">
        <w:rPr>
          <w:b/>
          <w:bCs/>
        </w:rPr>
        <w:t>s</w:t>
      </w:r>
      <w:r w:rsidRPr="0030595F">
        <w:rPr>
          <w:b/>
          <w:bCs/>
        </w:rPr>
        <w:t>.</w:t>
      </w:r>
    </w:p>
    <w:p w14:paraId="2E9FC307" w14:textId="44642C36" w:rsidR="003B0D86" w:rsidRPr="0030595F" w:rsidRDefault="0030595F" w:rsidP="00516587">
      <w:pPr>
        <w:rPr>
          <w:b/>
          <w:bCs/>
        </w:rPr>
      </w:pPr>
      <w:r w:rsidRPr="0030595F">
        <w:rPr>
          <w:b/>
          <w:bCs/>
        </w:rPr>
        <w:t>Proposal 6: For Case 2 CSI enhancement, the UE reports only delta MCS.</w:t>
      </w:r>
    </w:p>
    <w:p w14:paraId="5200D9D3" w14:textId="77777777" w:rsidR="0030595F" w:rsidRDefault="0030595F" w:rsidP="00516587"/>
    <w:p w14:paraId="78510E43" w14:textId="045D6A4D" w:rsidR="00423BD1" w:rsidRDefault="007434DA" w:rsidP="00423BD1">
      <w:r>
        <w:t>Secondly</w:t>
      </w:r>
      <w:r w:rsidR="001A4253">
        <w:t xml:space="preserve">, it should be noted that a UE may be allocated different types of traffic, e.g. </w:t>
      </w:r>
      <w:proofErr w:type="spellStart"/>
      <w:r w:rsidR="001A4253">
        <w:t>eMBB</w:t>
      </w:r>
      <w:proofErr w:type="spellEnd"/>
      <w:r w:rsidR="001A4253">
        <w:t xml:space="preserve"> and URLLC, which have different BLER targets.  Since delta MCS reports the difference between scheduled MCS and MCS required for a target BLER, the UE needs to know which BLER target it should use in </w:t>
      </w:r>
      <w:r w:rsidR="00423BD1">
        <w:t xml:space="preserve">calculating </w:t>
      </w:r>
      <w:r w:rsidR="001A4253">
        <w:t>the delta MCS or whether the UE needs to report the delta MCS</w:t>
      </w:r>
      <w:r w:rsidR="00661EC5">
        <w:t xml:space="preserve"> at all</w:t>
      </w:r>
      <w:r w:rsidR="001A4253">
        <w:t xml:space="preserve">.  </w:t>
      </w:r>
      <w:r w:rsidR="00423BD1">
        <w:t xml:space="preserve">Therefore, there is a need for the </w:t>
      </w:r>
      <w:proofErr w:type="spellStart"/>
      <w:r w:rsidR="00423BD1">
        <w:t>gNB</w:t>
      </w:r>
      <w:proofErr w:type="spellEnd"/>
      <w:r w:rsidR="00423BD1">
        <w:t xml:space="preserve"> to indicate either the target BLER or whether </w:t>
      </w:r>
      <w:r w:rsidR="00310FFE">
        <w:t xml:space="preserve">a </w:t>
      </w:r>
      <w:r w:rsidR="00423BD1">
        <w:t xml:space="preserve">delta MCS report is required.  One way for the </w:t>
      </w:r>
      <w:proofErr w:type="spellStart"/>
      <w:r w:rsidR="00423BD1">
        <w:t>gNB</w:t>
      </w:r>
      <w:proofErr w:type="spellEnd"/>
      <w:r w:rsidR="00423BD1">
        <w:t xml:space="preserve"> to indicate the target BLER of a PDSCH for delta MCS ca</w:t>
      </w:r>
      <w:r w:rsidR="000E7C01">
        <w:t>l</w:t>
      </w:r>
      <w:r w:rsidR="00423BD1">
        <w:t xml:space="preserve">culation is to use the RNTI of the DL Grant, namely MCS-RNTI for URLLC BLER target and C-RNTI for </w:t>
      </w:r>
      <w:proofErr w:type="spellStart"/>
      <w:r w:rsidR="00423BD1">
        <w:t>eMBB</w:t>
      </w:r>
      <w:proofErr w:type="spellEnd"/>
      <w:r w:rsidR="00423BD1">
        <w:t xml:space="preserve"> BLER target.</w:t>
      </w:r>
    </w:p>
    <w:p w14:paraId="4F362E2A" w14:textId="326AD419" w:rsidR="001A4253" w:rsidRDefault="001A4253" w:rsidP="00516587">
      <w:pPr>
        <w:rPr>
          <w:b/>
          <w:bCs/>
        </w:rPr>
      </w:pPr>
      <w:r w:rsidRPr="00423BD1">
        <w:rPr>
          <w:b/>
          <w:bCs/>
        </w:rPr>
        <w:t xml:space="preserve">Observation </w:t>
      </w:r>
      <w:r w:rsidR="00813294">
        <w:rPr>
          <w:b/>
          <w:bCs/>
        </w:rPr>
        <w:t>3</w:t>
      </w:r>
      <w:r w:rsidRPr="00423BD1">
        <w:rPr>
          <w:b/>
          <w:bCs/>
        </w:rPr>
        <w:t xml:space="preserve">: Since delta MCS </w:t>
      </w:r>
      <w:r w:rsidR="00423BD1" w:rsidRPr="00423BD1">
        <w:rPr>
          <w:b/>
          <w:bCs/>
        </w:rPr>
        <w:t>determination is based on a target BLER and a UE can have different traffic type</w:t>
      </w:r>
      <w:r w:rsidR="0067541D">
        <w:rPr>
          <w:b/>
          <w:bCs/>
        </w:rPr>
        <w:t>s</w:t>
      </w:r>
      <w:r w:rsidR="00423BD1" w:rsidRPr="00423BD1">
        <w:rPr>
          <w:b/>
          <w:bCs/>
        </w:rPr>
        <w:t xml:space="preserve"> with different BLER targets, the UE needs to know the target BLER of each PDSCH in order to determine the delta MCS.</w:t>
      </w:r>
    </w:p>
    <w:p w14:paraId="56B4684D" w14:textId="546F63BA" w:rsidR="00423BD1" w:rsidRDefault="00423BD1" w:rsidP="00423BD1">
      <w:pPr>
        <w:rPr>
          <w:b/>
          <w:bCs/>
        </w:rPr>
      </w:pPr>
      <w:r>
        <w:rPr>
          <w:b/>
          <w:bCs/>
        </w:rPr>
        <w:t xml:space="preserve">Proposal 7: The </w:t>
      </w:r>
      <w:proofErr w:type="spellStart"/>
      <w:r>
        <w:rPr>
          <w:b/>
          <w:bCs/>
        </w:rPr>
        <w:t>gNB</w:t>
      </w:r>
      <w:proofErr w:type="spellEnd"/>
      <w:r>
        <w:rPr>
          <w:b/>
          <w:bCs/>
        </w:rPr>
        <w:t xml:space="preserve"> uses the RNTI of the DL Grant, i.e. MCS-RNTI and C-RNTI, to indicate different BLER targets for the calculation of delta MCS</w:t>
      </w:r>
      <w:r w:rsidR="00661EC5">
        <w:rPr>
          <w:b/>
          <w:bCs/>
        </w:rPr>
        <w:t xml:space="preserve"> or to indicate whether the UE needs to report delta MCS.</w:t>
      </w:r>
    </w:p>
    <w:p w14:paraId="7103C9AA" w14:textId="77777777" w:rsidR="005C42CE" w:rsidRDefault="005C42CE" w:rsidP="00516587">
      <w:pPr>
        <w:rPr>
          <w:b/>
          <w:bCs/>
        </w:rPr>
      </w:pPr>
    </w:p>
    <w:p w14:paraId="3C6CC7B5" w14:textId="4E31D5F6" w:rsidR="002E73EE" w:rsidRDefault="005C42CE" w:rsidP="00042C53">
      <w:r>
        <w:lastRenderedPageBreak/>
        <w:t xml:space="preserve">For SPS PDSCH transmission, the </w:t>
      </w:r>
      <w:proofErr w:type="spellStart"/>
      <w:r>
        <w:t>gNB</w:t>
      </w:r>
      <w:proofErr w:type="spellEnd"/>
      <w:r>
        <w:t xml:space="preserve"> can configure the target BLER that the UE should use in calculating delta MCS.  The </w:t>
      </w:r>
      <w:proofErr w:type="spellStart"/>
      <w:r>
        <w:t>gNB</w:t>
      </w:r>
      <w:proofErr w:type="spellEnd"/>
      <w:r>
        <w:t xml:space="preserve"> should also be able to disable/enable the reporting of delta MCS for each SPS configuration.</w:t>
      </w:r>
    </w:p>
    <w:p w14:paraId="68EA2817" w14:textId="1D8E9135" w:rsidR="005C42CE" w:rsidRPr="005C42CE" w:rsidRDefault="005C42CE" w:rsidP="00042C53">
      <w:pPr>
        <w:rPr>
          <w:b/>
          <w:bCs/>
        </w:rPr>
      </w:pPr>
      <w:r w:rsidRPr="005C42CE">
        <w:rPr>
          <w:b/>
          <w:bCs/>
        </w:rPr>
        <w:t xml:space="preserve">Proposal 8: The </w:t>
      </w:r>
      <w:proofErr w:type="spellStart"/>
      <w:r w:rsidRPr="005C42CE">
        <w:rPr>
          <w:b/>
          <w:bCs/>
        </w:rPr>
        <w:t>gNB</w:t>
      </w:r>
      <w:proofErr w:type="spellEnd"/>
      <w:r w:rsidRPr="005C42CE">
        <w:rPr>
          <w:b/>
          <w:bCs/>
        </w:rPr>
        <w:t xml:space="preserve"> can configure the target BLER and enable/disable delta MCS reporting for each SPS configuration.</w:t>
      </w:r>
    </w:p>
    <w:p w14:paraId="01656478" w14:textId="29CBEFC7" w:rsidR="005C42CE" w:rsidRDefault="005C42CE" w:rsidP="00042C53"/>
    <w:p w14:paraId="0FBA6C84" w14:textId="1CF39C6C" w:rsidR="005C42CE" w:rsidRDefault="005C42CE" w:rsidP="00042C53">
      <w:r>
        <w:t xml:space="preserve">Another consideration is whether the delta MCS is reported per PDSCH or per multiple PDSCHs.  Reporting delta MCS per PDSCH would generate a lot of overhead.  Whereas </w:t>
      </w:r>
      <w:r w:rsidR="00FE7DA4">
        <w:t xml:space="preserve">reporting </w:t>
      </w:r>
      <w:r>
        <w:t xml:space="preserve">delta </w:t>
      </w:r>
      <w:proofErr w:type="gramStart"/>
      <w:r>
        <w:t xml:space="preserve">MCS </w:t>
      </w:r>
      <w:r w:rsidR="00870AB0">
        <w:t xml:space="preserve"> over</w:t>
      </w:r>
      <w:proofErr w:type="gramEnd"/>
      <w:r>
        <w:t xml:space="preserve"> multiple PDSCHs would reduce overhead</w:t>
      </w:r>
      <w:r w:rsidR="00870AB0">
        <w:t>,</w:t>
      </w:r>
      <w:r>
        <w:t xml:space="preserve"> we</w:t>
      </w:r>
      <w:r w:rsidR="00870AB0">
        <w:t xml:space="preserve"> would</w:t>
      </w:r>
      <w:r>
        <w:t xml:space="preserve"> need to define how to determine the delta MCS over multiple PDSCHs, e.g. using an average or max function.</w:t>
      </w:r>
    </w:p>
    <w:p w14:paraId="4EB475B7" w14:textId="48C4AF74" w:rsidR="005C42CE" w:rsidRDefault="005C42CE" w:rsidP="00042C53">
      <w:pPr>
        <w:rPr>
          <w:b/>
          <w:bCs/>
        </w:rPr>
      </w:pPr>
      <w:r w:rsidRPr="005C42CE">
        <w:rPr>
          <w:b/>
          <w:bCs/>
        </w:rPr>
        <w:t xml:space="preserve">Observation </w:t>
      </w:r>
      <w:r w:rsidR="00813294">
        <w:rPr>
          <w:b/>
          <w:bCs/>
        </w:rPr>
        <w:t>4</w:t>
      </w:r>
      <w:r w:rsidRPr="005C42CE">
        <w:rPr>
          <w:b/>
          <w:bCs/>
        </w:rPr>
        <w:t>: Reporting delta MCS per PDSCH can lead to high uplink overhead.</w:t>
      </w:r>
    </w:p>
    <w:p w14:paraId="6B845FCF" w14:textId="3C8BD546" w:rsidR="00661EC5" w:rsidRPr="005C42CE" w:rsidRDefault="00661EC5" w:rsidP="00042C53">
      <w:pPr>
        <w:rPr>
          <w:b/>
          <w:bCs/>
        </w:rPr>
      </w:pPr>
      <w:r>
        <w:rPr>
          <w:b/>
          <w:bCs/>
        </w:rPr>
        <w:t xml:space="preserve">Observation </w:t>
      </w:r>
      <w:r w:rsidR="00813294">
        <w:rPr>
          <w:b/>
          <w:bCs/>
        </w:rPr>
        <w:t>5</w:t>
      </w:r>
      <w:r>
        <w:rPr>
          <w:b/>
          <w:bCs/>
        </w:rPr>
        <w:t>: Reporting delta MCS per multiple PDSCHs requires a function, e.g. average or max, to calculate a delta MCS value from multiple PDSCHs.</w:t>
      </w:r>
    </w:p>
    <w:p w14:paraId="583F0918" w14:textId="5810D5D2" w:rsidR="005C42CE" w:rsidRPr="005C42CE" w:rsidRDefault="005C42CE" w:rsidP="00042C53">
      <w:pPr>
        <w:rPr>
          <w:b/>
          <w:bCs/>
        </w:rPr>
      </w:pPr>
      <w:bookmarkStart w:id="3" w:name="_GoBack"/>
      <w:r w:rsidRPr="005C42CE">
        <w:rPr>
          <w:b/>
          <w:bCs/>
        </w:rPr>
        <w:t>Proposal 9: Consider whether delta MCS report is on a per PDSCH or per multiple PDSCHs basis.</w:t>
      </w:r>
    </w:p>
    <w:bookmarkEnd w:id="3"/>
    <w:p w14:paraId="1FAA9BA3" w14:textId="6F2178AE" w:rsidR="002E73EE" w:rsidRDefault="002E73EE" w:rsidP="00042C53"/>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4837850A"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2402DA">
        <w:t xml:space="preserve">of </w:t>
      </w:r>
      <w:r w:rsidR="006672D5">
        <w:t>enhanced CSI</w:t>
      </w:r>
      <w:r w:rsidR="00EA2359">
        <w:t>.  We observe the following</w:t>
      </w:r>
      <w:r w:rsidR="00483B30">
        <w:t>:</w:t>
      </w:r>
      <w:r w:rsidR="0081222A" w:rsidRPr="00503C98">
        <w:rPr>
          <w:rFonts w:eastAsia="MS Mincho"/>
          <w:b/>
          <w:lang w:val="en-US"/>
        </w:rPr>
        <w:t xml:space="preserve"> </w:t>
      </w:r>
    </w:p>
    <w:p w14:paraId="50BD352E" w14:textId="77777777" w:rsidR="00813294" w:rsidRPr="00661EC5" w:rsidRDefault="00813294" w:rsidP="00813294">
      <w:pPr>
        <w:rPr>
          <w:b/>
          <w:bCs/>
        </w:rPr>
      </w:pPr>
      <w:r w:rsidRPr="00661EC5">
        <w:rPr>
          <w:b/>
          <w:bCs/>
        </w:rPr>
        <w:t xml:space="preserve">Observation 1: There is no need to report both delta CQI and delta MCS since the </w:t>
      </w:r>
      <w:proofErr w:type="spellStart"/>
      <w:r w:rsidRPr="00661EC5">
        <w:rPr>
          <w:b/>
          <w:bCs/>
        </w:rPr>
        <w:t>gNB</w:t>
      </w:r>
      <w:proofErr w:type="spellEnd"/>
      <w:r w:rsidRPr="00661EC5">
        <w:rPr>
          <w:b/>
          <w:bCs/>
        </w:rPr>
        <w:t xml:space="preserve"> can obtain one unit from another.</w:t>
      </w:r>
    </w:p>
    <w:p w14:paraId="7DECC481" w14:textId="77777777" w:rsidR="00813294" w:rsidRPr="0030595F" w:rsidRDefault="00813294" w:rsidP="00813294">
      <w:pPr>
        <w:rPr>
          <w:b/>
          <w:bCs/>
        </w:rPr>
      </w:pPr>
      <w:r w:rsidRPr="0030595F">
        <w:rPr>
          <w:b/>
          <w:bCs/>
        </w:rPr>
        <w:t xml:space="preserve">Observation </w:t>
      </w:r>
      <w:r>
        <w:rPr>
          <w:b/>
          <w:bCs/>
        </w:rPr>
        <w:t>2</w:t>
      </w:r>
      <w:r w:rsidRPr="0030595F">
        <w:rPr>
          <w:b/>
          <w:bCs/>
        </w:rPr>
        <w:t>: In reporting delta MCS, the scheduled MCS is already signalled to the UE for the scheduled PDSCH.</w:t>
      </w:r>
      <w:r>
        <w:rPr>
          <w:b/>
          <w:bCs/>
        </w:rPr>
        <w:t xml:space="preserve">  On the other hand, in </w:t>
      </w:r>
      <w:r w:rsidRPr="0030595F">
        <w:rPr>
          <w:b/>
          <w:bCs/>
        </w:rPr>
        <w:t>reporting delta CQI, the UE may need to convert the scheduled MCS to a scheduled CQI, which requires additional computation</w:t>
      </w:r>
      <w:r>
        <w:rPr>
          <w:b/>
          <w:bCs/>
        </w:rPr>
        <w:t>s</w:t>
      </w:r>
      <w:r w:rsidRPr="0030595F">
        <w:rPr>
          <w:b/>
          <w:bCs/>
        </w:rPr>
        <w:t>.</w:t>
      </w:r>
    </w:p>
    <w:p w14:paraId="70D26DFB" w14:textId="77777777" w:rsidR="00813294" w:rsidRDefault="00813294" w:rsidP="00813294">
      <w:pPr>
        <w:rPr>
          <w:b/>
          <w:bCs/>
        </w:rPr>
      </w:pPr>
      <w:r w:rsidRPr="00423BD1">
        <w:rPr>
          <w:b/>
          <w:bCs/>
        </w:rPr>
        <w:t xml:space="preserve">Observation </w:t>
      </w:r>
      <w:r>
        <w:rPr>
          <w:b/>
          <w:bCs/>
        </w:rPr>
        <w:t>3</w:t>
      </w:r>
      <w:r w:rsidRPr="00423BD1">
        <w:rPr>
          <w:b/>
          <w:bCs/>
        </w:rPr>
        <w:t>: Since delta MCS determination is based on a target BLER and a UE can have different traffic type</w:t>
      </w:r>
      <w:r>
        <w:rPr>
          <w:b/>
          <w:bCs/>
        </w:rPr>
        <w:t>s</w:t>
      </w:r>
      <w:r w:rsidRPr="00423BD1">
        <w:rPr>
          <w:b/>
          <w:bCs/>
        </w:rPr>
        <w:t xml:space="preserve"> with different BLER targets, the UE needs to know the target BLER of each PDSCH in order to determine the delta MCS.</w:t>
      </w:r>
    </w:p>
    <w:p w14:paraId="6EC7A40F" w14:textId="77777777" w:rsidR="00813294" w:rsidRDefault="00813294" w:rsidP="00813294">
      <w:pPr>
        <w:rPr>
          <w:b/>
          <w:bCs/>
        </w:rPr>
      </w:pPr>
      <w:r w:rsidRPr="005C42CE">
        <w:rPr>
          <w:b/>
          <w:bCs/>
        </w:rPr>
        <w:t xml:space="preserve">Observation </w:t>
      </w:r>
      <w:r>
        <w:rPr>
          <w:b/>
          <w:bCs/>
        </w:rPr>
        <w:t>4</w:t>
      </w:r>
      <w:r w:rsidRPr="005C42CE">
        <w:rPr>
          <w:b/>
          <w:bCs/>
        </w:rPr>
        <w:t>: Reporting delta MCS per PDSCH can lead to high uplink overhead.</w:t>
      </w:r>
    </w:p>
    <w:p w14:paraId="7BEDC646" w14:textId="77777777" w:rsidR="00813294" w:rsidRPr="005C42CE" w:rsidRDefault="00813294" w:rsidP="00813294">
      <w:pPr>
        <w:rPr>
          <w:b/>
          <w:bCs/>
        </w:rPr>
      </w:pPr>
      <w:r>
        <w:rPr>
          <w:b/>
          <w:bCs/>
        </w:rPr>
        <w:t>Observation 5: Reporting delta MCS per multiple PDSCHs requires a function, e.g. average or max, to calculate a delta MCS value from multiple PDSCHs.</w:t>
      </w:r>
    </w:p>
    <w:p w14:paraId="31A87205" w14:textId="77777777" w:rsidR="00755134" w:rsidRDefault="00755134" w:rsidP="00755134">
      <w:pPr>
        <w:jc w:val="both"/>
        <w:rPr>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1AC91DC4" w14:textId="77777777" w:rsidR="00813294" w:rsidRPr="00286D51" w:rsidRDefault="00813294" w:rsidP="00813294">
      <w:pPr>
        <w:rPr>
          <w:b/>
          <w:bCs/>
        </w:rPr>
      </w:pPr>
      <w:r w:rsidRPr="00286D51">
        <w:rPr>
          <w:b/>
          <w:bCs/>
        </w:rPr>
        <w:t>Proposal 1: Support reporting mean and standard deviation of CQI/SINR.</w:t>
      </w:r>
    </w:p>
    <w:p w14:paraId="1654A54E" w14:textId="77777777" w:rsidR="00813294" w:rsidRPr="002C584A" w:rsidRDefault="00813294" w:rsidP="00813294">
      <w:pPr>
        <w:rPr>
          <w:b/>
          <w:bCs/>
        </w:rPr>
      </w:pPr>
      <w:r w:rsidRPr="002C584A">
        <w:rPr>
          <w:b/>
          <w:bCs/>
        </w:rPr>
        <w:t>Proposal 2: Do not support new CSI reporting based on worst IMR occasion.</w:t>
      </w:r>
    </w:p>
    <w:p w14:paraId="3445529F" w14:textId="77777777" w:rsidR="00813294" w:rsidRPr="00087A3B" w:rsidRDefault="00813294" w:rsidP="00813294">
      <w:pPr>
        <w:rPr>
          <w:b/>
          <w:bCs/>
        </w:rPr>
      </w:pPr>
      <w:r w:rsidRPr="00087A3B">
        <w:rPr>
          <w:b/>
          <w:bCs/>
        </w:rPr>
        <w:t>Proposal 3: Do not support new CSI reporting on interference standard deviation.</w:t>
      </w:r>
    </w:p>
    <w:p w14:paraId="27967FF6" w14:textId="77777777" w:rsidR="00813294" w:rsidRPr="00E15DF7" w:rsidRDefault="00813294" w:rsidP="00813294">
      <w:pPr>
        <w:rPr>
          <w:b/>
          <w:bCs/>
        </w:rPr>
      </w:pPr>
      <w:r w:rsidRPr="00E15DF7">
        <w:rPr>
          <w:b/>
          <w:bCs/>
        </w:rPr>
        <w:t>Proposal 4: Consider increasing the granularity of sub-band CQI reporting.</w:t>
      </w:r>
    </w:p>
    <w:p w14:paraId="4D60AA44" w14:textId="77777777" w:rsidR="00813294" w:rsidRPr="00516587" w:rsidRDefault="00813294" w:rsidP="00813294">
      <w:pPr>
        <w:rPr>
          <w:b/>
          <w:bCs/>
        </w:rPr>
      </w:pPr>
      <w:r w:rsidRPr="00516587">
        <w:rPr>
          <w:b/>
          <w:bCs/>
        </w:rPr>
        <w:t>Proposal 5: Do not support new CQI only update that is conditioned on previous RI/PMI/(CRI) report instance.</w:t>
      </w:r>
    </w:p>
    <w:p w14:paraId="2AC0FA71" w14:textId="77777777" w:rsidR="00813294" w:rsidRPr="0030595F" w:rsidRDefault="00813294" w:rsidP="00813294">
      <w:pPr>
        <w:rPr>
          <w:b/>
          <w:bCs/>
        </w:rPr>
      </w:pPr>
      <w:r w:rsidRPr="0030595F">
        <w:rPr>
          <w:b/>
          <w:bCs/>
        </w:rPr>
        <w:t>Proposal 6: For Case 2 CSI enhancement, the UE reports only delta MCS.</w:t>
      </w:r>
    </w:p>
    <w:p w14:paraId="3FF3A2F1" w14:textId="77777777" w:rsidR="00813294" w:rsidRDefault="00813294" w:rsidP="00813294">
      <w:pPr>
        <w:rPr>
          <w:b/>
          <w:bCs/>
        </w:rPr>
      </w:pPr>
      <w:r>
        <w:rPr>
          <w:b/>
          <w:bCs/>
        </w:rPr>
        <w:t xml:space="preserve">Proposal 7: The </w:t>
      </w:r>
      <w:proofErr w:type="spellStart"/>
      <w:r>
        <w:rPr>
          <w:b/>
          <w:bCs/>
        </w:rPr>
        <w:t>gNB</w:t>
      </w:r>
      <w:proofErr w:type="spellEnd"/>
      <w:r>
        <w:rPr>
          <w:b/>
          <w:bCs/>
        </w:rPr>
        <w:t xml:space="preserve"> uses the RNTI of the DL Grant, i.e. MCS-RNTI and C-RNTI, to indicate different BLER targets for the calculation of delta MCS or to indicate whether the UE needs to report delta MCS.</w:t>
      </w:r>
    </w:p>
    <w:p w14:paraId="30463F9A" w14:textId="77777777" w:rsidR="00813294" w:rsidRPr="005C42CE" w:rsidRDefault="00813294" w:rsidP="00813294">
      <w:pPr>
        <w:rPr>
          <w:b/>
          <w:bCs/>
        </w:rPr>
      </w:pPr>
      <w:r w:rsidRPr="005C42CE">
        <w:rPr>
          <w:b/>
          <w:bCs/>
        </w:rPr>
        <w:t xml:space="preserve">Proposal 8: The </w:t>
      </w:r>
      <w:proofErr w:type="spellStart"/>
      <w:r w:rsidRPr="005C42CE">
        <w:rPr>
          <w:b/>
          <w:bCs/>
        </w:rPr>
        <w:t>gNB</w:t>
      </w:r>
      <w:proofErr w:type="spellEnd"/>
      <w:r w:rsidRPr="005C42CE">
        <w:rPr>
          <w:b/>
          <w:bCs/>
        </w:rPr>
        <w:t xml:space="preserve"> can configure the target BLER and enable/disable delta MCS reporting for each SPS configuration.</w:t>
      </w:r>
    </w:p>
    <w:p w14:paraId="01568066" w14:textId="77777777" w:rsidR="00813294" w:rsidRPr="005C42CE" w:rsidRDefault="00813294" w:rsidP="00813294">
      <w:pPr>
        <w:rPr>
          <w:b/>
          <w:bCs/>
        </w:rPr>
      </w:pPr>
      <w:r w:rsidRPr="005C42CE">
        <w:rPr>
          <w:b/>
          <w:bCs/>
        </w:rPr>
        <w:lastRenderedPageBreak/>
        <w:t>Proposal 9: Consider whether delta MCS report is on a per PDSCH or per multiple PDSCHs basis.</w:t>
      </w:r>
    </w:p>
    <w:p w14:paraId="0CAB4EB9" w14:textId="77777777" w:rsidR="007C3B5F" w:rsidRPr="004D1ED0" w:rsidRDefault="007C3B5F" w:rsidP="007C3B5F">
      <w:pPr>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6F45543A" w14:textId="0910F5B8" w:rsidR="00723567" w:rsidRDefault="005A029D" w:rsidP="00615A70">
      <w:r>
        <w:t xml:space="preserve">[1] </w:t>
      </w:r>
      <w:r w:rsidR="006672D5" w:rsidRPr="006672D5">
        <w:t>R1-2103956</w:t>
      </w:r>
      <w:r w:rsidR="00675093">
        <w:t xml:space="preserve">, </w:t>
      </w:r>
      <w:r w:rsidR="006672D5">
        <w:t>“</w:t>
      </w:r>
      <w:r w:rsidR="006672D5" w:rsidRPr="006672D5">
        <w:t>Feature lead summary #4 on CSI feedback enhancements for enhanced URLLC/</w:t>
      </w:r>
      <w:proofErr w:type="spellStart"/>
      <w:proofErr w:type="gramStart"/>
      <w:r w:rsidR="006672D5" w:rsidRPr="006672D5">
        <w:t>IIoT</w:t>
      </w:r>
      <w:proofErr w:type="spellEnd"/>
      <w:r w:rsidR="006672D5" w:rsidRPr="006672D5">
        <w:t xml:space="preserve"> </w:t>
      </w:r>
      <w:r w:rsidR="006672D5">
        <w:t>,</w:t>
      </w:r>
      <w:proofErr w:type="gramEnd"/>
      <w:r w:rsidR="006672D5">
        <w:t xml:space="preserve">” </w:t>
      </w:r>
      <w:r w:rsidR="006672D5" w:rsidRPr="006672D5">
        <w:t>Moderator (</w:t>
      </w:r>
      <w:proofErr w:type="spellStart"/>
      <w:r w:rsidR="006672D5" w:rsidRPr="006672D5">
        <w:t>InterDigital</w:t>
      </w:r>
      <w:proofErr w:type="spellEnd"/>
      <w:r w:rsidR="006672D5" w:rsidRPr="006672D5">
        <w:t>, Inc.)</w:t>
      </w:r>
      <w:r w:rsidR="006672D5">
        <w:t xml:space="preserve">, </w:t>
      </w:r>
      <w:r w:rsidR="00675093">
        <w:t>RAN1#104bis-e</w:t>
      </w:r>
    </w:p>
    <w:p w14:paraId="6AAF3E2D" w14:textId="6009FA76" w:rsidR="001979C0" w:rsidRDefault="001979C0" w:rsidP="00615A70">
      <w:r>
        <w:t xml:space="preserve">[2] </w:t>
      </w:r>
      <w:r w:rsidR="00E15DF7" w:rsidRPr="00E15DF7">
        <w:t>R1-2102759</w:t>
      </w:r>
      <w:r w:rsidR="00E15DF7">
        <w:t>, “</w:t>
      </w:r>
      <w:r w:rsidR="00E15DF7" w:rsidRPr="00E15DF7">
        <w:t>CSI feedback enhancements for URLLC</w:t>
      </w:r>
      <w:r w:rsidR="00E15DF7">
        <w:t xml:space="preserve">,” </w:t>
      </w:r>
      <w:proofErr w:type="spellStart"/>
      <w:r w:rsidR="00E15DF7">
        <w:t>Futurewei</w:t>
      </w:r>
      <w:proofErr w:type="spellEnd"/>
      <w:r w:rsidR="00E15DF7">
        <w:t>, RAN1#104bis-e</w:t>
      </w:r>
    </w:p>
    <w:p w14:paraId="3FE1F722" w14:textId="011500F3" w:rsidR="001979C0" w:rsidRDefault="001979C0" w:rsidP="00615A70">
      <w:r>
        <w:t>[</w:t>
      </w:r>
      <w:r w:rsidR="00E15DF7">
        <w:t>3</w:t>
      </w:r>
      <w:r>
        <w:t xml:space="preserve">] </w:t>
      </w:r>
      <w:r w:rsidRPr="001979C0">
        <w:t>R1-2103434</w:t>
      </w:r>
      <w:r>
        <w:t>, “</w:t>
      </w:r>
      <w:r w:rsidRPr="001979C0">
        <w:t>CSI feedback enhancements for URLLC/</w:t>
      </w:r>
      <w:proofErr w:type="spellStart"/>
      <w:r w:rsidRPr="001979C0">
        <w:t>IIoT</w:t>
      </w:r>
      <w:proofErr w:type="spellEnd"/>
      <w:r w:rsidRPr="001979C0">
        <w:t xml:space="preserve"> use cases</w:t>
      </w:r>
      <w:r>
        <w:t xml:space="preserve">,” </w:t>
      </w:r>
      <w:r w:rsidRPr="001979C0">
        <w:t>Nokia, Nokia Shanghai Bell</w:t>
      </w:r>
      <w:r>
        <w:t>, RAN1#104bis-e</w:t>
      </w:r>
    </w:p>
    <w:p w14:paraId="1DD22B18" w14:textId="58AF7A22" w:rsidR="00760BF8" w:rsidRDefault="00760BF8" w:rsidP="00615A70">
      <w:r>
        <w:t xml:space="preserve">[4] </w:t>
      </w:r>
      <w:r w:rsidRPr="00760BF8">
        <w:t>R1-2102522</w:t>
      </w:r>
      <w:r>
        <w:t>, “</w:t>
      </w:r>
      <w:r w:rsidRPr="00760BF8">
        <w:t>CSI feedback enhancements for Rel-17 URLLC</w:t>
      </w:r>
      <w:r>
        <w:t xml:space="preserve">,” </w:t>
      </w:r>
      <w:r w:rsidRPr="00760BF8">
        <w:t>vivo</w:t>
      </w:r>
      <w:r>
        <w:t>, RAN1#104bis-e</w:t>
      </w:r>
    </w:p>
    <w:p w14:paraId="5EED4E4E" w14:textId="5DABE118" w:rsidR="003B0D86" w:rsidRDefault="003B0D86" w:rsidP="00615A70">
      <w:r>
        <w:t xml:space="preserve">[5] </w:t>
      </w:r>
      <w:r w:rsidRPr="003B0D86">
        <w:t>R1-2102393</w:t>
      </w:r>
      <w:r>
        <w:t>, “</w:t>
      </w:r>
      <w:r w:rsidRPr="003B0D86">
        <w:t>CSI feedback enhancements for URLLC</w:t>
      </w:r>
      <w:r>
        <w:t xml:space="preserve">,” </w:t>
      </w:r>
      <w:r w:rsidRPr="003B0D86">
        <w:t>OPPO</w:t>
      </w:r>
      <w:r>
        <w:t>, RAN1#104bis-e</w:t>
      </w:r>
    </w:p>
    <w:p w14:paraId="1C3A6D71" w14:textId="788830E0" w:rsidR="003B0D86" w:rsidRDefault="003B0D86" w:rsidP="00615A70">
      <w:r>
        <w:t xml:space="preserve">[6] </w:t>
      </w:r>
      <w:r w:rsidRPr="003B0D86">
        <w:t>R1-2102629</w:t>
      </w:r>
      <w:r>
        <w:t>, “</w:t>
      </w:r>
      <w:r w:rsidRPr="003B0D86">
        <w:t>CSI feedback enhancements</w:t>
      </w:r>
      <w:r>
        <w:t xml:space="preserve">,” </w:t>
      </w:r>
      <w:r w:rsidRPr="003B0D86">
        <w:t>CATT</w:t>
      </w:r>
      <w:r>
        <w:t>, RAN1#104bis-e</w:t>
      </w:r>
    </w:p>
    <w:p w14:paraId="1BC8052D" w14:textId="77777777" w:rsidR="003B0D86" w:rsidRDefault="003B0D86" w:rsidP="00615A70"/>
    <w:sectPr w:rsidR="003B0D86">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2B60E" w16cex:dateUtc="2021-01-08T01:44:00Z"/>
  <w16cex:commentExtensible w16cex:durableId="23A2C12D" w16cex:dateUtc="2021-01-08T0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9B79F" w14:textId="77777777" w:rsidR="00D64DE7" w:rsidRDefault="00D64DE7">
      <w:r>
        <w:separator/>
      </w:r>
    </w:p>
  </w:endnote>
  <w:endnote w:type="continuationSeparator" w:id="0">
    <w:p w14:paraId="34F61267" w14:textId="77777777" w:rsidR="00D64DE7" w:rsidRDefault="00D64DE7">
      <w:r>
        <w:continuationSeparator/>
      </w:r>
    </w:p>
  </w:endnote>
  <w:endnote w:type="continuationNotice" w:id="1">
    <w:p w14:paraId="557ABF1B" w14:textId="77777777" w:rsidR="00D64DE7" w:rsidRDefault="00D64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222CC" w14:textId="77777777" w:rsidR="00D64DE7" w:rsidRDefault="00D64DE7">
      <w:r>
        <w:separator/>
      </w:r>
    </w:p>
  </w:footnote>
  <w:footnote w:type="continuationSeparator" w:id="0">
    <w:p w14:paraId="7150C5B4" w14:textId="77777777" w:rsidR="00D64DE7" w:rsidRDefault="00D64DE7">
      <w:r>
        <w:continuationSeparator/>
      </w:r>
    </w:p>
  </w:footnote>
  <w:footnote w:type="continuationNotice" w:id="1">
    <w:p w14:paraId="7C527CC6" w14:textId="77777777" w:rsidR="00D64DE7" w:rsidRDefault="00D64D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1B4968A7"/>
    <w:multiLevelType w:val="hybridMultilevel"/>
    <w:tmpl w:val="3BDE1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2065A6"/>
    <w:multiLevelType w:val="hybridMultilevel"/>
    <w:tmpl w:val="E2162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116F1B"/>
    <w:multiLevelType w:val="hybridMultilevel"/>
    <w:tmpl w:val="3C04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8"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F802F3"/>
    <w:multiLevelType w:val="hybridMultilevel"/>
    <w:tmpl w:val="C3F66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4"/>
  </w:num>
  <w:num w:numId="3">
    <w:abstractNumId w:val="10"/>
  </w:num>
  <w:num w:numId="4">
    <w:abstractNumId w:val="2"/>
  </w:num>
  <w:num w:numId="5">
    <w:abstractNumId w:val="0"/>
  </w:num>
  <w:num w:numId="6">
    <w:abstractNumId w:val="7"/>
  </w:num>
  <w:num w:numId="7">
    <w:abstractNumId w:val="24"/>
  </w:num>
  <w:num w:numId="8">
    <w:abstractNumId w:val="11"/>
  </w:num>
  <w:num w:numId="9">
    <w:abstractNumId w:val="8"/>
  </w:num>
  <w:num w:numId="10">
    <w:abstractNumId w:val="22"/>
  </w:num>
  <w:num w:numId="11">
    <w:abstractNumId w:val="23"/>
  </w:num>
  <w:num w:numId="12">
    <w:abstractNumId w:val="3"/>
  </w:num>
  <w:num w:numId="13">
    <w:abstractNumId w:val="18"/>
  </w:num>
  <w:num w:numId="14">
    <w:abstractNumId w:val="21"/>
  </w:num>
  <w:num w:numId="15">
    <w:abstractNumId w:val="4"/>
  </w:num>
  <w:num w:numId="16">
    <w:abstractNumId w:val="6"/>
  </w:num>
  <w:num w:numId="17">
    <w:abstractNumId w:val="1"/>
  </w:num>
  <w:num w:numId="18">
    <w:abstractNumId w:val="5"/>
  </w:num>
  <w:num w:numId="19">
    <w:abstractNumId w:val="15"/>
  </w:num>
  <w:num w:numId="20">
    <w:abstractNumId w:val="12"/>
  </w:num>
  <w:num w:numId="21">
    <w:abstractNumId w:val="9"/>
  </w:num>
  <w:num w:numId="22">
    <w:abstractNumId w:val="20"/>
  </w:num>
  <w:num w:numId="23">
    <w:abstractNumId w:val="19"/>
  </w:num>
  <w:num w:numId="24">
    <w:abstractNumId w:val="13"/>
  </w:num>
  <w:num w:numId="25">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1D58"/>
    <w:rsid w:val="00022060"/>
    <w:rsid w:val="00022C26"/>
    <w:rsid w:val="0002561C"/>
    <w:rsid w:val="00027483"/>
    <w:rsid w:val="00027DE7"/>
    <w:rsid w:val="00031AA4"/>
    <w:rsid w:val="00032A02"/>
    <w:rsid w:val="00034A05"/>
    <w:rsid w:val="00034BE0"/>
    <w:rsid w:val="000366AC"/>
    <w:rsid w:val="00037FAD"/>
    <w:rsid w:val="00040836"/>
    <w:rsid w:val="00040B7B"/>
    <w:rsid w:val="0004157F"/>
    <w:rsid w:val="00041A7F"/>
    <w:rsid w:val="00042C53"/>
    <w:rsid w:val="000437AE"/>
    <w:rsid w:val="00045485"/>
    <w:rsid w:val="00046177"/>
    <w:rsid w:val="00050083"/>
    <w:rsid w:val="00051AE3"/>
    <w:rsid w:val="000526BF"/>
    <w:rsid w:val="00057629"/>
    <w:rsid w:val="00060A19"/>
    <w:rsid w:val="00062DA9"/>
    <w:rsid w:val="00063EB5"/>
    <w:rsid w:val="000657A3"/>
    <w:rsid w:val="00067574"/>
    <w:rsid w:val="00070CB1"/>
    <w:rsid w:val="00071A2D"/>
    <w:rsid w:val="0007415F"/>
    <w:rsid w:val="000771C1"/>
    <w:rsid w:val="000772E2"/>
    <w:rsid w:val="00080250"/>
    <w:rsid w:val="00081217"/>
    <w:rsid w:val="0008487C"/>
    <w:rsid w:val="00085823"/>
    <w:rsid w:val="00087A3B"/>
    <w:rsid w:val="00087D3A"/>
    <w:rsid w:val="0009061A"/>
    <w:rsid w:val="00092A5C"/>
    <w:rsid w:val="000930E8"/>
    <w:rsid w:val="00093601"/>
    <w:rsid w:val="00094981"/>
    <w:rsid w:val="000952BF"/>
    <w:rsid w:val="0009577B"/>
    <w:rsid w:val="000961E0"/>
    <w:rsid w:val="00096B0F"/>
    <w:rsid w:val="00096DD3"/>
    <w:rsid w:val="0009759A"/>
    <w:rsid w:val="000A1ACC"/>
    <w:rsid w:val="000A1E1B"/>
    <w:rsid w:val="000A2552"/>
    <w:rsid w:val="000A35CB"/>
    <w:rsid w:val="000A519B"/>
    <w:rsid w:val="000A670D"/>
    <w:rsid w:val="000B2C0D"/>
    <w:rsid w:val="000B2C86"/>
    <w:rsid w:val="000B4315"/>
    <w:rsid w:val="000B5886"/>
    <w:rsid w:val="000B5D65"/>
    <w:rsid w:val="000B68AA"/>
    <w:rsid w:val="000B6F39"/>
    <w:rsid w:val="000B741A"/>
    <w:rsid w:val="000C054B"/>
    <w:rsid w:val="000C2901"/>
    <w:rsid w:val="000C2AC0"/>
    <w:rsid w:val="000C34E2"/>
    <w:rsid w:val="000C3B1C"/>
    <w:rsid w:val="000C49E4"/>
    <w:rsid w:val="000C5BBA"/>
    <w:rsid w:val="000D2E23"/>
    <w:rsid w:val="000D49B2"/>
    <w:rsid w:val="000D639E"/>
    <w:rsid w:val="000D6E32"/>
    <w:rsid w:val="000D7B2E"/>
    <w:rsid w:val="000E2A73"/>
    <w:rsid w:val="000E678E"/>
    <w:rsid w:val="000E7C01"/>
    <w:rsid w:val="000F0284"/>
    <w:rsid w:val="000F0589"/>
    <w:rsid w:val="000F0B4D"/>
    <w:rsid w:val="000F183A"/>
    <w:rsid w:val="000F2691"/>
    <w:rsid w:val="001009A5"/>
    <w:rsid w:val="00102B6D"/>
    <w:rsid w:val="00103160"/>
    <w:rsid w:val="0010548F"/>
    <w:rsid w:val="00106793"/>
    <w:rsid w:val="00106D5C"/>
    <w:rsid w:val="00106DB8"/>
    <w:rsid w:val="00106E4E"/>
    <w:rsid w:val="001074FE"/>
    <w:rsid w:val="001116CE"/>
    <w:rsid w:val="00111DCA"/>
    <w:rsid w:val="00112FBE"/>
    <w:rsid w:val="00113713"/>
    <w:rsid w:val="001156D6"/>
    <w:rsid w:val="00116008"/>
    <w:rsid w:val="00117DD7"/>
    <w:rsid w:val="0012187F"/>
    <w:rsid w:val="001219AE"/>
    <w:rsid w:val="00121CA3"/>
    <w:rsid w:val="00123B0E"/>
    <w:rsid w:val="00123C2E"/>
    <w:rsid w:val="00124B6B"/>
    <w:rsid w:val="00124FCC"/>
    <w:rsid w:val="001252EC"/>
    <w:rsid w:val="00126B43"/>
    <w:rsid w:val="001318A8"/>
    <w:rsid w:val="001318C4"/>
    <w:rsid w:val="00131F38"/>
    <w:rsid w:val="001324D1"/>
    <w:rsid w:val="001343BB"/>
    <w:rsid w:val="00134BD6"/>
    <w:rsid w:val="00136D8B"/>
    <w:rsid w:val="00136DE8"/>
    <w:rsid w:val="0014010F"/>
    <w:rsid w:val="001415AE"/>
    <w:rsid w:val="00144192"/>
    <w:rsid w:val="001506CC"/>
    <w:rsid w:val="00153DAF"/>
    <w:rsid w:val="00154348"/>
    <w:rsid w:val="00155449"/>
    <w:rsid w:val="00155458"/>
    <w:rsid w:val="00156E9C"/>
    <w:rsid w:val="00160371"/>
    <w:rsid w:val="00162258"/>
    <w:rsid w:val="001623C0"/>
    <w:rsid w:val="0016276D"/>
    <w:rsid w:val="001641D6"/>
    <w:rsid w:val="001703DF"/>
    <w:rsid w:val="00171BCC"/>
    <w:rsid w:val="00173B87"/>
    <w:rsid w:val="00174FBB"/>
    <w:rsid w:val="001759AC"/>
    <w:rsid w:val="001773FC"/>
    <w:rsid w:val="00177C0E"/>
    <w:rsid w:val="00180FB8"/>
    <w:rsid w:val="001812ED"/>
    <w:rsid w:val="001836A4"/>
    <w:rsid w:val="0018507A"/>
    <w:rsid w:val="0018756C"/>
    <w:rsid w:val="00190E15"/>
    <w:rsid w:val="00191488"/>
    <w:rsid w:val="0019153B"/>
    <w:rsid w:val="001918D8"/>
    <w:rsid w:val="0019256C"/>
    <w:rsid w:val="0019605F"/>
    <w:rsid w:val="00196366"/>
    <w:rsid w:val="001971E6"/>
    <w:rsid w:val="001979C0"/>
    <w:rsid w:val="001A2D3D"/>
    <w:rsid w:val="001A4253"/>
    <w:rsid w:val="001A4874"/>
    <w:rsid w:val="001A4ED2"/>
    <w:rsid w:val="001A6249"/>
    <w:rsid w:val="001A683D"/>
    <w:rsid w:val="001A7756"/>
    <w:rsid w:val="001B0C5B"/>
    <w:rsid w:val="001B173A"/>
    <w:rsid w:val="001B1893"/>
    <w:rsid w:val="001B199A"/>
    <w:rsid w:val="001B1A12"/>
    <w:rsid w:val="001B20FE"/>
    <w:rsid w:val="001B39B3"/>
    <w:rsid w:val="001B3BA0"/>
    <w:rsid w:val="001B4CA8"/>
    <w:rsid w:val="001B6F5E"/>
    <w:rsid w:val="001C5D90"/>
    <w:rsid w:val="001C5F5C"/>
    <w:rsid w:val="001C7850"/>
    <w:rsid w:val="001D1CB2"/>
    <w:rsid w:val="001D2B9B"/>
    <w:rsid w:val="001D3CD9"/>
    <w:rsid w:val="001D4C19"/>
    <w:rsid w:val="001D569E"/>
    <w:rsid w:val="001D7294"/>
    <w:rsid w:val="001D7299"/>
    <w:rsid w:val="001D7786"/>
    <w:rsid w:val="001D7B2D"/>
    <w:rsid w:val="001E1CB7"/>
    <w:rsid w:val="001E507C"/>
    <w:rsid w:val="001E577C"/>
    <w:rsid w:val="001E6315"/>
    <w:rsid w:val="001E6E71"/>
    <w:rsid w:val="001F24B2"/>
    <w:rsid w:val="001F2AE2"/>
    <w:rsid w:val="001F37F8"/>
    <w:rsid w:val="001F3B16"/>
    <w:rsid w:val="001F4476"/>
    <w:rsid w:val="001F4FDD"/>
    <w:rsid w:val="001F5647"/>
    <w:rsid w:val="001F5D33"/>
    <w:rsid w:val="001F6352"/>
    <w:rsid w:val="001F6D3C"/>
    <w:rsid w:val="001F725C"/>
    <w:rsid w:val="001F7576"/>
    <w:rsid w:val="001F7D71"/>
    <w:rsid w:val="0020013C"/>
    <w:rsid w:val="00200BC4"/>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618D"/>
    <w:rsid w:val="00226816"/>
    <w:rsid w:val="0022688D"/>
    <w:rsid w:val="002270B0"/>
    <w:rsid w:val="00230140"/>
    <w:rsid w:val="0023091B"/>
    <w:rsid w:val="00233BCA"/>
    <w:rsid w:val="00233CA5"/>
    <w:rsid w:val="002342D7"/>
    <w:rsid w:val="00235516"/>
    <w:rsid w:val="00237449"/>
    <w:rsid w:val="00240132"/>
    <w:rsid w:val="002402DA"/>
    <w:rsid w:val="002419B9"/>
    <w:rsid w:val="002420A4"/>
    <w:rsid w:val="002422B7"/>
    <w:rsid w:val="0024263F"/>
    <w:rsid w:val="00242E15"/>
    <w:rsid w:val="002441DB"/>
    <w:rsid w:val="0024533F"/>
    <w:rsid w:val="002473F2"/>
    <w:rsid w:val="0024780F"/>
    <w:rsid w:val="00252C04"/>
    <w:rsid w:val="00253F70"/>
    <w:rsid w:val="00254BFE"/>
    <w:rsid w:val="00257594"/>
    <w:rsid w:val="0025781D"/>
    <w:rsid w:val="0026014F"/>
    <w:rsid w:val="0026394C"/>
    <w:rsid w:val="00263CA8"/>
    <w:rsid w:val="0026656B"/>
    <w:rsid w:val="002679C5"/>
    <w:rsid w:val="00270216"/>
    <w:rsid w:val="0027318F"/>
    <w:rsid w:val="002732F5"/>
    <w:rsid w:val="00275802"/>
    <w:rsid w:val="00275F80"/>
    <w:rsid w:val="002761EC"/>
    <w:rsid w:val="00280ED8"/>
    <w:rsid w:val="00282700"/>
    <w:rsid w:val="00282896"/>
    <w:rsid w:val="00284BAA"/>
    <w:rsid w:val="002850B5"/>
    <w:rsid w:val="00285393"/>
    <w:rsid w:val="00286D51"/>
    <w:rsid w:val="00286F93"/>
    <w:rsid w:val="00287680"/>
    <w:rsid w:val="002878A7"/>
    <w:rsid w:val="00291026"/>
    <w:rsid w:val="0029163A"/>
    <w:rsid w:val="00291C04"/>
    <w:rsid w:val="00292299"/>
    <w:rsid w:val="00293C10"/>
    <w:rsid w:val="00293E19"/>
    <w:rsid w:val="00294238"/>
    <w:rsid w:val="00295608"/>
    <w:rsid w:val="00295ADF"/>
    <w:rsid w:val="002A006C"/>
    <w:rsid w:val="002A020C"/>
    <w:rsid w:val="002A0221"/>
    <w:rsid w:val="002A1E8A"/>
    <w:rsid w:val="002A3B4C"/>
    <w:rsid w:val="002A5825"/>
    <w:rsid w:val="002A591C"/>
    <w:rsid w:val="002A7770"/>
    <w:rsid w:val="002B1397"/>
    <w:rsid w:val="002B1D8E"/>
    <w:rsid w:val="002B4D1A"/>
    <w:rsid w:val="002B54B3"/>
    <w:rsid w:val="002B56B8"/>
    <w:rsid w:val="002B5807"/>
    <w:rsid w:val="002C01D5"/>
    <w:rsid w:val="002C584A"/>
    <w:rsid w:val="002C75C7"/>
    <w:rsid w:val="002D14A6"/>
    <w:rsid w:val="002D1FA5"/>
    <w:rsid w:val="002D4F72"/>
    <w:rsid w:val="002D5C34"/>
    <w:rsid w:val="002E09BD"/>
    <w:rsid w:val="002E0D51"/>
    <w:rsid w:val="002E24EA"/>
    <w:rsid w:val="002E3E88"/>
    <w:rsid w:val="002E73EE"/>
    <w:rsid w:val="002E7691"/>
    <w:rsid w:val="002E77DE"/>
    <w:rsid w:val="002F0B65"/>
    <w:rsid w:val="002F2113"/>
    <w:rsid w:val="002F27E9"/>
    <w:rsid w:val="002F7659"/>
    <w:rsid w:val="003017FF"/>
    <w:rsid w:val="00301B0B"/>
    <w:rsid w:val="0030595F"/>
    <w:rsid w:val="00305F45"/>
    <w:rsid w:val="003077B4"/>
    <w:rsid w:val="00307F60"/>
    <w:rsid w:val="00310D7A"/>
    <w:rsid w:val="00310FFE"/>
    <w:rsid w:val="003119DD"/>
    <w:rsid w:val="00311BD9"/>
    <w:rsid w:val="00314ABC"/>
    <w:rsid w:val="00315418"/>
    <w:rsid w:val="003162A9"/>
    <w:rsid w:val="00322F7E"/>
    <w:rsid w:val="0032319A"/>
    <w:rsid w:val="00323CCE"/>
    <w:rsid w:val="00325336"/>
    <w:rsid w:val="00327383"/>
    <w:rsid w:val="003275FE"/>
    <w:rsid w:val="00333EB6"/>
    <w:rsid w:val="003352DF"/>
    <w:rsid w:val="003365EF"/>
    <w:rsid w:val="00342233"/>
    <w:rsid w:val="003428F0"/>
    <w:rsid w:val="003438A6"/>
    <w:rsid w:val="00344A18"/>
    <w:rsid w:val="003474A9"/>
    <w:rsid w:val="00350811"/>
    <w:rsid w:val="0035221F"/>
    <w:rsid w:val="00352564"/>
    <w:rsid w:val="003527BE"/>
    <w:rsid w:val="003539C7"/>
    <w:rsid w:val="003567DC"/>
    <w:rsid w:val="00356FC8"/>
    <w:rsid w:val="00362CFE"/>
    <w:rsid w:val="00364752"/>
    <w:rsid w:val="003655DA"/>
    <w:rsid w:val="003675D2"/>
    <w:rsid w:val="00367E12"/>
    <w:rsid w:val="00371CCF"/>
    <w:rsid w:val="00372494"/>
    <w:rsid w:val="00374486"/>
    <w:rsid w:val="003753AD"/>
    <w:rsid w:val="00380233"/>
    <w:rsid w:val="0038194E"/>
    <w:rsid w:val="00382EEB"/>
    <w:rsid w:val="003832E9"/>
    <w:rsid w:val="00383598"/>
    <w:rsid w:val="003859FD"/>
    <w:rsid w:val="0039361A"/>
    <w:rsid w:val="00393A1F"/>
    <w:rsid w:val="003943F7"/>
    <w:rsid w:val="003958A9"/>
    <w:rsid w:val="00396BB6"/>
    <w:rsid w:val="003A004E"/>
    <w:rsid w:val="003A1646"/>
    <w:rsid w:val="003A1649"/>
    <w:rsid w:val="003A164B"/>
    <w:rsid w:val="003A1A45"/>
    <w:rsid w:val="003A3361"/>
    <w:rsid w:val="003A42CD"/>
    <w:rsid w:val="003A433E"/>
    <w:rsid w:val="003A4C24"/>
    <w:rsid w:val="003A62C9"/>
    <w:rsid w:val="003B0D86"/>
    <w:rsid w:val="003B29D1"/>
    <w:rsid w:val="003B2EF1"/>
    <w:rsid w:val="003B312B"/>
    <w:rsid w:val="003B4C2F"/>
    <w:rsid w:val="003B5EBD"/>
    <w:rsid w:val="003B6947"/>
    <w:rsid w:val="003C39BA"/>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DD9"/>
    <w:rsid w:val="003F3102"/>
    <w:rsid w:val="003F61CD"/>
    <w:rsid w:val="004012D6"/>
    <w:rsid w:val="00401479"/>
    <w:rsid w:val="0040350E"/>
    <w:rsid w:val="00403E3D"/>
    <w:rsid w:val="004042FC"/>
    <w:rsid w:val="004063FB"/>
    <w:rsid w:val="00407DC9"/>
    <w:rsid w:val="00410DD6"/>
    <w:rsid w:val="00411571"/>
    <w:rsid w:val="00413511"/>
    <w:rsid w:val="00413ECC"/>
    <w:rsid w:val="0041482F"/>
    <w:rsid w:val="004156D9"/>
    <w:rsid w:val="004158CB"/>
    <w:rsid w:val="00417FC0"/>
    <w:rsid w:val="004211F1"/>
    <w:rsid w:val="00421D52"/>
    <w:rsid w:val="00422848"/>
    <w:rsid w:val="00423BD1"/>
    <w:rsid w:val="004251BD"/>
    <w:rsid w:val="00425D5B"/>
    <w:rsid w:val="00427D9F"/>
    <w:rsid w:val="00430383"/>
    <w:rsid w:val="0043408E"/>
    <w:rsid w:val="00434697"/>
    <w:rsid w:val="00440646"/>
    <w:rsid w:val="0044175E"/>
    <w:rsid w:val="00441FC3"/>
    <w:rsid w:val="0044528F"/>
    <w:rsid w:val="004469F1"/>
    <w:rsid w:val="00446F95"/>
    <w:rsid w:val="004476E8"/>
    <w:rsid w:val="00453952"/>
    <w:rsid w:val="00455BB6"/>
    <w:rsid w:val="00460156"/>
    <w:rsid w:val="0046029C"/>
    <w:rsid w:val="004605A7"/>
    <w:rsid w:val="00460C44"/>
    <w:rsid w:val="0046114B"/>
    <w:rsid w:val="0046115C"/>
    <w:rsid w:val="0046364F"/>
    <w:rsid w:val="00464932"/>
    <w:rsid w:val="00465067"/>
    <w:rsid w:val="004704F2"/>
    <w:rsid w:val="0047056E"/>
    <w:rsid w:val="00470A85"/>
    <w:rsid w:val="00470C71"/>
    <w:rsid w:val="00471F15"/>
    <w:rsid w:val="004747A0"/>
    <w:rsid w:val="00474CAF"/>
    <w:rsid w:val="00474F91"/>
    <w:rsid w:val="004760EC"/>
    <w:rsid w:val="004768FB"/>
    <w:rsid w:val="00477067"/>
    <w:rsid w:val="0048341C"/>
    <w:rsid w:val="00483B30"/>
    <w:rsid w:val="0048511E"/>
    <w:rsid w:val="00490605"/>
    <w:rsid w:val="004909D7"/>
    <w:rsid w:val="00491FCD"/>
    <w:rsid w:val="00492332"/>
    <w:rsid w:val="00492A87"/>
    <w:rsid w:val="00495FF3"/>
    <w:rsid w:val="0049683E"/>
    <w:rsid w:val="004A2043"/>
    <w:rsid w:val="004A4173"/>
    <w:rsid w:val="004A5E5A"/>
    <w:rsid w:val="004A650D"/>
    <w:rsid w:val="004A7D79"/>
    <w:rsid w:val="004B158E"/>
    <w:rsid w:val="004B275B"/>
    <w:rsid w:val="004B27C6"/>
    <w:rsid w:val="004B4E8E"/>
    <w:rsid w:val="004B592F"/>
    <w:rsid w:val="004B6887"/>
    <w:rsid w:val="004B6ED1"/>
    <w:rsid w:val="004C0560"/>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01"/>
    <w:rsid w:val="004F45DC"/>
    <w:rsid w:val="004F6519"/>
    <w:rsid w:val="00502AA5"/>
    <w:rsid w:val="00503879"/>
    <w:rsid w:val="00503C98"/>
    <w:rsid w:val="00503DA1"/>
    <w:rsid w:val="005052E5"/>
    <w:rsid w:val="005101DA"/>
    <w:rsid w:val="005107F1"/>
    <w:rsid w:val="00511B06"/>
    <w:rsid w:val="005141B3"/>
    <w:rsid w:val="00514ACC"/>
    <w:rsid w:val="005151DD"/>
    <w:rsid w:val="00515AA1"/>
    <w:rsid w:val="00516587"/>
    <w:rsid w:val="0051696E"/>
    <w:rsid w:val="005173E4"/>
    <w:rsid w:val="005219D0"/>
    <w:rsid w:val="00525ABD"/>
    <w:rsid w:val="00527811"/>
    <w:rsid w:val="005304A6"/>
    <w:rsid w:val="005317FD"/>
    <w:rsid w:val="00533EC2"/>
    <w:rsid w:val="0053447D"/>
    <w:rsid w:val="005346D0"/>
    <w:rsid w:val="00540859"/>
    <w:rsid w:val="00543763"/>
    <w:rsid w:val="00544758"/>
    <w:rsid w:val="00545DF3"/>
    <w:rsid w:val="00547BF4"/>
    <w:rsid w:val="00547F2B"/>
    <w:rsid w:val="00550FF6"/>
    <w:rsid w:val="00553A9F"/>
    <w:rsid w:val="00555DF8"/>
    <w:rsid w:val="005560C0"/>
    <w:rsid w:val="00556FEC"/>
    <w:rsid w:val="0055725A"/>
    <w:rsid w:val="00560741"/>
    <w:rsid w:val="0056115F"/>
    <w:rsid w:val="00562EA3"/>
    <w:rsid w:val="005640F6"/>
    <w:rsid w:val="00564B64"/>
    <w:rsid w:val="005654F5"/>
    <w:rsid w:val="005658A0"/>
    <w:rsid w:val="005661C8"/>
    <w:rsid w:val="005701B4"/>
    <w:rsid w:val="005710C3"/>
    <w:rsid w:val="0057264E"/>
    <w:rsid w:val="005738B2"/>
    <w:rsid w:val="00574987"/>
    <w:rsid w:val="00576978"/>
    <w:rsid w:val="00576DCA"/>
    <w:rsid w:val="005776BC"/>
    <w:rsid w:val="00577751"/>
    <w:rsid w:val="00577F8A"/>
    <w:rsid w:val="00580724"/>
    <w:rsid w:val="00581C14"/>
    <w:rsid w:val="00583CEF"/>
    <w:rsid w:val="00585563"/>
    <w:rsid w:val="00585FEE"/>
    <w:rsid w:val="00586DFE"/>
    <w:rsid w:val="005873A3"/>
    <w:rsid w:val="00587E70"/>
    <w:rsid w:val="00587FDD"/>
    <w:rsid w:val="0059077E"/>
    <w:rsid w:val="00591021"/>
    <w:rsid w:val="00591EEB"/>
    <w:rsid w:val="00594DEA"/>
    <w:rsid w:val="0059722F"/>
    <w:rsid w:val="005A0046"/>
    <w:rsid w:val="005A029D"/>
    <w:rsid w:val="005A072A"/>
    <w:rsid w:val="005A0A84"/>
    <w:rsid w:val="005A3297"/>
    <w:rsid w:val="005A4D5E"/>
    <w:rsid w:val="005A716B"/>
    <w:rsid w:val="005A73BF"/>
    <w:rsid w:val="005A7CC5"/>
    <w:rsid w:val="005B0D27"/>
    <w:rsid w:val="005B1306"/>
    <w:rsid w:val="005B2443"/>
    <w:rsid w:val="005B2791"/>
    <w:rsid w:val="005B3363"/>
    <w:rsid w:val="005B404D"/>
    <w:rsid w:val="005B4E84"/>
    <w:rsid w:val="005B62D0"/>
    <w:rsid w:val="005C19D9"/>
    <w:rsid w:val="005C3EB6"/>
    <w:rsid w:val="005C42CE"/>
    <w:rsid w:val="005C54CF"/>
    <w:rsid w:val="005C6408"/>
    <w:rsid w:val="005C6FAF"/>
    <w:rsid w:val="005C70A9"/>
    <w:rsid w:val="005C7515"/>
    <w:rsid w:val="005C7C05"/>
    <w:rsid w:val="005D2525"/>
    <w:rsid w:val="005D2E78"/>
    <w:rsid w:val="005D4784"/>
    <w:rsid w:val="005D537D"/>
    <w:rsid w:val="005D729E"/>
    <w:rsid w:val="005D78F2"/>
    <w:rsid w:val="005E1F9D"/>
    <w:rsid w:val="005E3AED"/>
    <w:rsid w:val="005E4D1C"/>
    <w:rsid w:val="005E5779"/>
    <w:rsid w:val="005E619E"/>
    <w:rsid w:val="005E6307"/>
    <w:rsid w:val="005E6C06"/>
    <w:rsid w:val="005E78FC"/>
    <w:rsid w:val="005E7D65"/>
    <w:rsid w:val="005F25B5"/>
    <w:rsid w:val="005F341F"/>
    <w:rsid w:val="005F4FD9"/>
    <w:rsid w:val="005F5642"/>
    <w:rsid w:val="005F5FE9"/>
    <w:rsid w:val="005F6ABE"/>
    <w:rsid w:val="00600272"/>
    <w:rsid w:val="00601258"/>
    <w:rsid w:val="006036D1"/>
    <w:rsid w:val="00605E6D"/>
    <w:rsid w:val="00610ACA"/>
    <w:rsid w:val="00615A70"/>
    <w:rsid w:val="0061635F"/>
    <w:rsid w:val="00616D13"/>
    <w:rsid w:val="00620DD7"/>
    <w:rsid w:val="006236B8"/>
    <w:rsid w:val="006236EB"/>
    <w:rsid w:val="00623A5F"/>
    <w:rsid w:val="00623DD3"/>
    <w:rsid w:val="00624DB8"/>
    <w:rsid w:val="00626BB3"/>
    <w:rsid w:val="00627A4E"/>
    <w:rsid w:val="00627F2D"/>
    <w:rsid w:val="00633952"/>
    <w:rsid w:val="00633E08"/>
    <w:rsid w:val="0063473D"/>
    <w:rsid w:val="00635754"/>
    <w:rsid w:val="00637ED0"/>
    <w:rsid w:val="006403E0"/>
    <w:rsid w:val="0064052F"/>
    <w:rsid w:val="0064072D"/>
    <w:rsid w:val="00640BA7"/>
    <w:rsid w:val="006430B7"/>
    <w:rsid w:val="00643E1D"/>
    <w:rsid w:val="006440AC"/>
    <w:rsid w:val="00644ED3"/>
    <w:rsid w:val="00647C3D"/>
    <w:rsid w:val="00653984"/>
    <w:rsid w:val="0065646B"/>
    <w:rsid w:val="00656747"/>
    <w:rsid w:val="006569B2"/>
    <w:rsid w:val="00657DD9"/>
    <w:rsid w:val="00661EC5"/>
    <w:rsid w:val="00662952"/>
    <w:rsid w:val="00664E2F"/>
    <w:rsid w:val="006651CD"/>
    <w:rsid w:val="006672D5"/>
    <w:rsid w:val="00671754"/>
    <w:rsid w:val="0067188C"/>
    <w:rsid w:val="00673015"/>
    <w:rsid w:val="00675093"/>
    <w:rsid w:val="006753E7"/>
    <w:rsid w:val="0067541D"/>
    <w:rsid w:val="00675A71"/>
    <w:rsid w:val="00676C51"/>
    <w:rsid w:val="0067719A"/>
    <w:rsid w:val="00677BEC"/>
    <w:rsid w:val="00680CAA"/>
    <w:rsid w:val="0068693C"/>
    <w:rsid w:val="00687AB3"/>
    <w:rsid w:val="006900D8"/>
    <w:rsid w:val="00692272"/>
    <w:rsid w:val="00692317"/>
    <w:rsid w:val="00694ABB"/>
    <w:rsid w:val="00694B81"/>
    <w:rsid w:val="00695C1F"/>
    <w:rsid w:val="00696F64"/>
    <w:rsid w:val="006A0813"/>
    <w:rsid w:val="006A2116"/>
    <w:rsid w:val="006A2494"/>
    <w:rsid w:val="006A2592"/>
    <w:rsid w:val="006A483B"/>
    <w:rsid w:val="006A567E"/>
    <w:rsid w:val="006A62C5"/>
    <w:rsid w:val="006B12CE"/>
    <w:rsid w:val="006B2EE0"/>
    <w:rsid w:val="006B35D9"/>
    <w:rsid w:val="006B39D4"/>
    <w:rsid w:val="006C033B"/>
    <w:rsid w:val="006C0EEE"/>
    <w:rsid w:val="006C1678"/>
    <w:rsid w:val="006C2587"/>
    <w:rsid w:val="006C6081"/>
    <w:rsid w:val="006C633A"/>
    <w:rsid w:val="006C686F"/>
    <w:rsid w:val="006D000C"/>
    <w:rsid w:val="006D01A3"/>
    <w:rsid w:val="006D039E"/>
    <w:rsid w:val="006D0EAA"/>
    <w:rsid w:val="006D0FCE"/>
    <w:rsid w:val="006D1B4D"/>
    <w:rsid w:val="006D21BF"/>
    <w:rsid w:val="006D5C62"/>
    <w:rsid w:val="006D62EB"/>
    <w:rsid w:val="006D73CE"/>
    <w:rsid w:val="006D789B"/>
    <w:rsid w:val="006D7E8D"/>
    <w:rsid w:val="006E0072"/>
    <w:rsid w:val="006E069C"/>
    <w:rsid w:val="006E1133"/>
    <w:rsid w:val="006E1D27"/>
    <w:rsid w:val="006E4F3B"/>
    <w:rsid w:val="006F007F"/>
    <w:rsid w:val="006F291E"/>
    <w:rsid w:val="006F3479"/>
    <w:rsid w:val="006F4C56"/>
    <w:rsid w:val="006F502D"/>
    <w:rsid w:val="006F50BE"/>
    <w:rsid w:val="006F65C1"/>
    <w:rsid w:val="007030D7"/>
    <w:rsid w:val="00705B5E"/>
    <w:rsid w:val="00710CD7"/>
    <w:rsid w:val="00712E4B"/>
    <w:rsid w:val="0071485F"/>
    <w:rsid w:val="00714F4D"/>
    <w:rsid w:val="007152EC"/>
    <w:rsid w:val="00716698"/>
    <w:rsid w:val="00716A0A"/>
    <w:rsid w:val="00716AFA"/>
    <w:rsid w:val="007172AC"/>
    <w:rsid w:val="007178CD"/>
    <w:rsid w:val="007221E1"/>
    <w:rsid w:val="00722DF3"/>
    <w:rsid w:val="00723341"/>
    <w:rsid w:val="00723567"/>
    <w:rsid w:val="00724B8B"/>
    <w:rsid w:val="007271F6"/>
    <w:rsid w:val="00730853"/>
    <w:rsid w:val="00730D1B"/>
    <w:rsid w:val="00731F15"/>
    <w:rsid w:val="007331C1"/>
    <w:rsid w:val="007332E6"/>
    <w:rsid w:val="0073373C"/>
    <w:rsid w:val="00734BB6"/>
    <w:rsid w:val="00736094"/>
    <w:rsid w:val="0073740C"/>
    <w:rsid w:val="0073743C"/>
    <w:rsid w:val="0073779D"/>
    <w:rsid w:val="00740D09"/>
    <w:rsid w:val="007434DA"/>
    <w:rsid w:val="00743918"/>
    <w:rsid w:val="00744ECB"/>
    <w:rsid w:val="007450D8"/>
    <w:rsid w:val="00750C22"/>
    <w:rsid w:val="00752EA2"/>
    <w:rsid w:val="00754DC0"/>
    <w:rsid w:val="00755134"/>
    <w:rsid w:val="00757BFA"/>
    <w:rsid w:val="007606B4"/>
    <w:rsid w:val="00760BF8"/>
    <w:rsid w:val="0076260A"/>
    <w:rsid w:val="00762A63"/>
    <w:rsid w:val="00763EC6"/>
    <w:rsid w:val="0076402F"/>
    <w:rsid w:val="00764858"/>
    <w:rsid w:val="00765E60"/>
    <w:rsid w:val="007661AB"/>
    <w:rsid w:val="00773AC2"/>
    <w:rsid w:val="00774D29"/>
    <w:rsid w:val="00777194"/>
    <w:rsid w:val="00782D42"/>
    <w:rsid w:val="00783E56"/>
    <w:rsid w:val="00784AB9"/>
    <w:rsid w:val="00784ED9"/>
    <w:rsid w:val="00785D71"/>
    <w:rsid w:val="00786379"/>
    <w:rsid w:val="00787165"/>
    <w:rsid w:val="00787B43"/>
    <w:rsid w:val="00794A35"/>
    <w:rsid w:val="00794E52"/>
    <w:rsid w:val="007956B6"/>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2A0B"/>
    <w:rsid w:val="007C3B5F"/>
    <w:rsid w:val="007C5797"/>
    <w:rsid w:val="007D060C"/>
    <w:rsid w:val="007D3E92"/>
    <w:rsid w:val="007D59B0"/>
    <w:rsid w:val="007E044C"/>
    <w:rsid w:val="007E1EF7"/>
    <w:rsid w:val="007E5126"/>
    <w:rsid w:val="007E5E30"/>
    <w:rsid w:val="007E68CD"/>
    <w:rsid w:val="007E7A77"/>
    <w:rsid w:val="007E7F4F"/>
    <w:rsid w:val="007F0027"/>
    <w:rsid w:val="007F1D9C"/>
    <w:rsid w:val="007F2160"/>
    <w:rsid w:val="007F4306"/>
    <w:rsid w:val="007F513A"/>
    <w:rsid w:val="007F518E"/>
    <w:rsid w:val="007F58C1"/>
    <w:rsid w:val="007F5F59"/>
    <w:rsid w:val="007F7470"/>
    <w:rsid w:val="00800297"/>
    <w:rsid w:val="00800EF3"/>
    <w:rsid w:val="008012B7"/>
    <w:rsid w:val="00802669"/>
    <w:rsid w:val="00802E59"/>
    <w:rsid w:val="00802FD8"/>
    <w:rsid w:val="0080401C"/>
    <w:rsid w:val="0080436C"/>
    <w:rsid w:val="00804720"/>
    <w:rsid w:val="00804FDD"/>
    <w:rsid w:val="00806BC8"/>
    <w:rsid w:val="0081042E"/>
    <w:rsid w:val="00812089"/>
    <w:rsid w:val="0081222A"/>
    <w:rsid w:val="00813294"/>
    <w:rsid w:val="0081571E"/>
    <w:rsid w:val="00815969"/>
    <w:rsid w:val="00815B97"/>
    <w:rsid w:val="008207CD"/>
    <w:rsid w:val="00820FAA"/>
    <w:rsid w:val="00822CA0"/>
    <w:rsid w:val="008263EC"/>
    <w:rsid w:val="00826FBA"/>
    <w:rsid w:val="00832DFF"/>
    <w:rsid w:val="00832E78"/>
    <w:rsid w:val="00834A52"/>
    <w:rsid w:val="00834E64"/>
    <w:rsid w:val="00836397"/>
    <w:rsid w:val="008373EA"/>
    <w:rsid w:val="0084008F"/>
    <w:rsid w:val="008401E5"/>
    <w:rsid w:val="008413E1"/>
    <w:rsid w:val="00841966"/>
    <w:rsid w:val="00842D44"/>
    <w:rsid w:val="0084307E"/>
    <w:rsid w:val="00843540"/>
    <w:rsid w:val="0084384C"/>
    <w:rsid w:val="008461AC"/>
    <w:rsid w:val="0084643E"/>
    <w:rsid w:val="00847A26"/>
    <w:rsid w:val="0085044A"/>
    <w:rsid w:val="008510A1"/>
    <w:rsid w:val="00851FE3"/>
    <w:rsid w:val="00854BB5"/>
    <w:rsid w:val="00855F39"/>
    <w:rsid w:val="0085681C"/>
    <w:rsid w:val="008676F3"/>
    <w:rsid w:val="008678A0"/>
    <w:rsid w:val="00867A8C"/>
    <w:rsid w:val="0087037B"/>
    <w:rsid w:val="00870AB0"/>
    <w:rsid w:val="00870B6A"/>
    <w:rsid w:val="00872A5A"/>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72BA"/>
    <w:rsid w:val="00890F4C"/>
    <w:rsid w:val="00894AAA"/>
    <w:rsid w:val="00894ED8"/>
    <w:rsid w:val="008960B6"/>
    <w:rsid w:val="008A188B"/>
    <w:rsid w:val="008A22C5"/>
    <w:rsid w:val="008A25E5"/>
    <w:rsid w:val="008A4450"/>
    <w:rsid w:val="008A4933"/>
    <w:rsid w:val="008B1B37"/>
    <w:rsid w:val="008B2923"/>
    <w:rsid w:val="008B3328"/>
    <w:rsid w:val="008B589E"/>
    <w:rsid w:val="008C0B9D"/>
    <w:rsid w:val="008C1A8D"/>
    <w:rsid w:val="008C1CC1"/>
    <w:rsid w:val="008C4D81"/>
    <w:rsid w:val="008C51D1"/>
    <w:rsid w:val="008C5436"/>
    <w:rsid w:val="008D0109"/>
    <w:rsid w:val="008D4C10"/>
    <w:rsid w:val="008D76C0"/>
    <w:rsid w:val="008D7818"/>
    <w:rsid w:val="008D7C42"/>
    <w:rsid w:val="008E1D7C"/>
    <w:rsid w:val="008E69D7"/>
    <w:rsid w:val="008E798E"/>
    <w:rsid w:val="008F0C8E"/>
    <w:rsid w:val="008F0CF7"/>
    <w:rsid w:val="008F13DE"/>
    <w:rsid w:val="008F2B98"/>
    <w:rsid w:val="008F434A"/>
    <w:rsid w:val="008F4AE6"/>
    <w:rsid w:val="008F6008"/>
    <w:rsid w:val="00900397"/>
    <w:rsid w:val="00901FF7"/>
    <w:rsid w:val="00903060"/>
    <w:rsid w:val="00904D4E"/>
    <w:rsid w:val="00905FF8"/>
    <w:rsid w:val="009119CD"/>
    <w:rsid w:val="00912513"/>
    <w:rsid w:val="00913BE8"/>
    <w:rsid w:val="00916119"/>
    <w:rsid w:val="00916802"/>
    <w:rsid w:val="0091689D"/>
    <w:rsid w:val="009173D8"/>
    <w:rsid w:val="00920581"/>
    <w:rsid w:val="00923C84"/>
    <w:rsid w:val="009245C7"/>
    <w:rsid w:val="00924FF2"/>
    <w:rsid w:val="0092594A"/>
    <w:rsid w:val="00925CE7"/>
    <w:rsid w:val="009261FB"/>
    <w:rsid w:val="009308ED"/>
    <w:rsid w:val="0093393E"/>
    <w:rsid w:val="009340B8"/>
    <w:rsid w:val="00935150"/>
    <w:rsid w:val="009403AF"/>
    <w:rsid w:val="00945FD6"/>
    <w:rsid w:val="00947959"/>
    <w:rsid w:val="0095028A"/>
    <w:rsid w:val="00951944"/>
    <w:rsid w:val="009520DB"/>
    <w:rsid w:val="00952EC6"/>
    <w:rsid w:val="00953334"/>
    <w:rsid w:val="00953616"/>
    <w:rsid w:val="00955493"/>
    <w:rsid w:val="009604BE"/>
    <w:rsid w:val="0096122E"/>
    <w:rsid w:val="00961354"/>
    <w:rsid w:val="00961B6E"/>
    <w:rsid w:val="00963D94"/>
    <w:rsid w:val="009649D7"/>
    <w:rsid w:val="00966A3E"/>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C6B"/>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832"/>
    <w:rsid w:val="009A5AB6"/>
    <w:rsid w:val="009A7E72"/>
    <w:rsid w:val="009A7F12"/>
    <w:rsid w:val="009B0657"/>
    <w:rsid w:val="009B15E0"/>
    <w:rsid w:val="009B1EFE"/>
    <w:rsid w:val="009B2CDF"/>
    <w:rsid w:val="009B5A46"/>
    <w:rsid w:val="009B67C5"/>
    <w:rsid w:val="009B720C"/>
    <w:rsid w:val="009B7AD3"/>
    <w:rsid w:val="009B7D1B"/>
    <w:rsid w:val="009C3A2D"/>
    <w:rsid w:val="009C45FF"/>
    <w:rsid w:val="009C4FA7"/>
    <w:rsid w:val="009C649A"/>
    <w:rsid w:val="009D0603"/>
    <w:rsid w:val="009D4321"/>
    <w:rsid w:val="009D6199"/>
    <w:rsid w:val="009D63AE"/>
    <w:rsid w:val="009D7CB0"/>
    <w:rsid w:val="009E0604"/>
    <w:rsid w:val="009E62B4"/>
    <w:rsid w:val="009E662D"/>
    <w:rsid w:val="009E7EC6"/>
    <w:rsid w:val="009F0747"/>
    <w:rsid w:val="009F0E70"/>
    <w:rsid w:val="009F2B42"/>
    <w:rsid w:val="009F4307"/>
    <w:rsid w:val="009F5D37"/>
    <w:rsid w:val="009F680B"/>
    <w:rsid w:val="009F75B5"/>
    <w:rsid w:val="00A00E89"/>
    <w:rsid w:val="00A01CF7"/>
    <w:rsid w:val="00A04F56"/>
    <w:rsid w:val="00A0736F"/>
    <w:rsid w:val="00A101D9"/>
    <w:rsid w:val="00A10AA1"/>
    <w:rsid w:val="00A10B1E"/>
    <w:rsid w:val="00A12EC7"/>
    <w:rsid w:val="00A1411E"/>
    <w:rsid w:val="00A14471"/>
    <w:rsid w:val="00A147AD"/>
    <w:rsid w:val="00A158AD"/>
    <w:rsid w:val="00A16E6F"/>
    <w:rsid w:val="00A21A9A"/>
    <w:rsid w:val="00A236DC"/>
    <w:rsid w:val="00A23C68"/>
    <w:rsid w:val="00A2568F"/>
    <w:rsid w:val="00A25A20"/>
    <w:rsid w:val="00A25F35"/>
    <w:rsid w:val="00A30797"/>
    <w:rsid w:val="00A32019"/>
    <w:rsid w:val="00A324DB"/>
    <w:rsid w:val="00A32A47"/>
    <w:rsid w:val="00A35D8F"/>
    <w:rsid w:val="00A37F9F"/>
    <w:rsid w:val="00A40A8C"/>
    <w:rsid w:val="00A43E4F"/>
    <w:rsid w:val="00A45186"/>
    <w:rsid w:val="00A4534B"/>
    <w:rsid w:val="00A473E1"/>
    <w:rsid w:val="00A4775E"/>
    <w:rsid w:val="00A52048"/>
    <w:rsid w:val="00A52D32"/>
    <w:rsid w:val="00A56DB2"/>
    <w:rsid w:val="00A57B22"/>
    <w:rsid w:val="00A614AD"/>
    <w:rsid w:val="00A61CED"/>
    <w:rsid w:val="00A649C6"/>
    <w:rsid w:val="00A65F2E"/>
    <w:rsid w:val="00A6693F"/>
    <w:rsid w:val="00A6764B"/>
    <w:rsid w:val="00A70B13"/>
    <w:rsid w:val="00A74192"/>
    <w:rsid w:val="00A760B5"/>
    <w:rsid w:val="00A81F16"/>
    <w:rsid w:val="00A824A2"/>
    <w:rsid w:val="00A82D5E"/>
    <w:rsid w:val="00A84BCB"/>
    <w:rsid w:val="00A85FA6"/>
    <w:rsid w:val="00A86BFF"/>
    <w:rsid w:val="00A87B7D"/>
    <w:rsid w:val="00A91C99"/>
    <w:rsid w:val="00A91CCB"/>
    <w:rsid w:val="00A971B2"/>
    <w:rsid w:val="00AA06AD"/>
    <w:rsid w:val="00AA116D"/>
    <w:rsid w:val="00AA4DAC"/>
    <w:rsid w:val="00AA5907"/>
    <w:rsid w:val="00AA62B6"/>
    <w:rsid w:val="00AB0C7C"/>
    <w:rsid w:val="00AB1010"/>
    <w:rsid w:val="00AB118C"/>
    <w:rsid w:val="00AB269C"/>
    <w:rsid w:val="00AB4ED7"/>
    <w:rsid w:val="00AB6C9E"/>
    <w:rsid w:val="00AB7191"/>
    <w:rsid w:val="00AB7A2A"/>
    <w:rsid w:val="00AC07AD"/>
    <w:rsid w:val="00AC10E2"/>
    <w:rsid w:val="00AC38F9"/>
    <w:rsid w:val="00AC3E64"/>
    <w:rsid w:val="00AC69A1"/>
    <w:rsid w:val="00AC7DB9"/>
    <w:rsid w:val="00AD17BB"/>
    <w:rsid w:val="00AD3A0C"/>
    <w:rsid w:val="00AD3CC2"/>
    <w:rsid w:val="00AD3D63"/>
    <w:rsid w:val="00AD515A"/>
    <w:rsid w:val="00AD598D"/>
    <w:rsid w:val="00AD62F7"/>
    <w:rsid w:val="00AD730F"/>
    <w:rsid w:val="00AD73F7"/>
    <w:rsid w:val="00AD76D5"/>
    <w:rsid w:val="00AE1269"/>
    <w:rsid w:val="00AE52A9"/>
    <w:rsid w:val="00AE7F75"/>
    <w:rsid w:val="00AF096B"/>
    <w:rsid w:val="00AF1940"/>
    <w:rsid w:val="00AF500B"/>
    <w:rsid w:val="00AF5D79"/>
    <w:rsid w:val="00AF7D65"/>
    <w:rsid w:val="00B021C9"/>
    <w:rsid w:val="00B02388"/>
    <w:rsid w:val="00B035D0"/>
    <w:rsid w:val="00B03727"/>
    <w:rsid w:val="00B04861"/>
    <w:rsid w:val="00B065B8"/>
    <w:rsid w:val="00B06C1E"/>
    <w:rsid w:val="00B11B16"/>
    <w:rsid w:val="00B11C54"/>
    <w:rsid w:val="00B132F8"/>
    <w:rsid w:val="00B13A7D"/>
    <w:rsid w:val="00B149C7"/>
    <w:rsid w:val="00B235F3"/>
    <w:rsid w:val="00B2444F"/>
    <w:rsid w:val="00B24EA5"/>
    <w:rsid w:val="00B25F91"/>
    <w:rsid w:val="00B276B0"/>
    <w:rsid w:val="00B2782B"/>
    <w:rsid w:val="00B31B89"/>
    <w:rsid w:val="00B33410"/>
    <w:rsid w:val="00B33943"/>
    <w:rsid w:val="00B34728"/>
    <w:rsid w:val="00B3669C"/>
    <w:rsid w:val="00B37E96"/>
    <w:rsid w:val="00B42019"/>
    <w:rsid w:val="00B434DA"/>
    <w:rsid w:val="00B4366E"/>
    <w:rsid w:val="00B4595C"/>
    <w:rsid w:val="00B4693B"/>
    <w:rsid w:val="00B549D1"/>
    <w:rsid w:val="00B55A7C"/>
    <w:rsid w:val="00B563BB"/>
    <w:rsid w:val="00B567C8"/>
    <w:rsid w:val="00B659C7"/>
    <w:rsid w:val="00B66E18"/>
    <w:rsid w:val="00B6720B"/>
    <w:rsid w:val="00B72231"/>
    <w:rsid w:val="00B73265"/>
    <w:rsid w:val="00B74E49"/>
    <w:rsid w:val="00B75543"/>
    <w:rsid w:val="00B75DA8"/>
    <w:rsid w:val="00B76155"/>
    <w:rsid w:val="00B77116"/>
    <w:rsid w:val="00B85F2A"/>
    <w:rsid w:val="00B86912"/>
    <w:rsid w:val="00B86CF2"/>
    <w:rsid w:val="00B875A8"/>
    <w:rsid w:val="00B910D6"/>
    <w:rsid w:val="00B96362"/>
    <w:rsid w:val="00B966A2"/>
    <w:rsid w:val="00B969BD"/>
    <w:rsid w:val="00BA08E0"/>
    <w:rsid w:val="00BA1A23"/>
    <w:rsid w:val="00BA242B"/>
    <w:rsid w:val="00BA3F4C"/>
    <w:rsid w:val="00BA58BF"/>
    <w:rsid w:val="00BA5B26"/>
    <w:rsid w:val="00BA67C3"/>
    <w:rsid w:val="00BA74CF"/>
    <w:rsid w:val="00BA7536"/>
    <w:rsid w:val="00BB0AAC"/>
    <w:rsid w:val="00BB0B0B"/>
    <w:rsid w:val="00BB47FD"/>
    <w:rsid w:val="00BB4DEC"/>
    <w:rsid w:val="00BB6DF2"/>
    <w:rsid w:val="00BB6ED5"/>
    <w:rsid w:val="00BC08D6"/>
    <w:rsid w:val="00BC0AD5"/>
    <w:rsid w:val="00BC3CD4"/>
    <w:rsid w:val="00BC54A7"/>
    <w:rsid w:val="00BD2B36"/>
    <w:rsid w:val="00BD38BA"/>
    <w:rsid w:val="00BD40B1"/>
    <w:rsid w:val="00BD5A29"/>
    <w:rsid w:val="00BE0743"/>
    <w:rsid w:val="00BE0CA4"/>
    <w:rsid w:val="00BE5A64"/>
    <w:rsid w:val="00BE6EDC"/>
    <w:rsid w:val="00BF262F"/>
    <w:rsid w:val="00BF36B4"/>
    <w:rsid w:val="00C0099C"/>
    <w:rsid w:val="00C01962"/>
    <w:rsid w:val="00C031A4"/>
    <w:rsid w:val="00C05967"/>
    <w:rsid w:val="00C05E47"/>
    <w:rsid w:val="00C06375"/>
    <w:rsid w:val="00C06B10"/>
    <w:rsid w:val="00C06F57"/>
    <w:rsid w:val="00C07D6B"/>
    <w:rsid w:val="00C11C96"/>
    <w:rsid w:val="00C12176"/>
    <w:rsid w:val="00C12E15"/>
    <w:rsid w:val="00C147B4"/>
    <w:rsid w:val="00C17A5B"/>
    <w:rsid w:val="00C17CE0"/>
    <w:rsid w:val="00C23851"/>
    <w:rsid w:val="00C246F3"/>
    <w:rsid w:val="00C24BD1"/>
    <w:rsid w:val="00C2745F"/>
    <w:rsid w:val="00C27736"/>
    <w:rsid w:val="00C2790E"/>
    <w:rsid w:val="00C27AA9"/>
    <w:rsid w:val="00C27AB9"/>
    <w:rsid w:val="00C31666"/>
    <w:rsid w:val="00C3191A"/>
    <w:rsid w:val="00C31D6F"/>
    <w:rsid w:val="00C35218"/>
    <w:rsid w:val="00C359DC"/>
    <w:rsid w:val="00C37B63"/>
    <w:rsid w:val="00C40BF8"/>
    <w:rsid w:val="00C4266E"/>
    <w:rsid w:val="00C4335D"/>
    <w:rsid w:val="00C44AA8"/>
    <w:rsid w:val="00C5438F"/>
    <w:rsid w:val="00C55E11"/>
    <w:rsid w:val="00C57EC8"/>
    <w:rsid w:val="00C607C5"/>
    <w:rsid w:val="00C63214"/>
    <w:rsid w:val="00C64143"/>
    <w:rsid w:val="00C65124"/>
    <w:rsid w:val="00C651ED"/>
    <w:rsid w:val="00C6550B"/>
    <w:rsid w:val="00C7002F"/>
    <w:rsid w:val="00C7114A"/>
    <w:rsid w:val="00C74ED5"/>
    <w:rsid w:val="00C75527"/>
    <w:rsid w:val="00C757A9"/>
    <w:rsid w:val="00C82193"/>
    <w:rsid w:val="00C84FD8"/>
    <w:rsid w:val="00C85A7B"/>
    <w:rsid w:val="00C85AA9"/>
    <w:rsid w:val="00C86AF8"/>
    <w:rsid w:val="00C8704A"/>
    <w:rsid w:val="00C87354"/>
    <w:rsid w:val="00C95409"/>
    <w:rsid w:val="00C96FEB"/>
    <w:rsid w:val="00C972AE"/>
    <w:rsid w:val="00C97D4D"/>
    <w:rsid w:val="00CA0708"/>
    <w:rsid w:val="00CA37DD"/>
    <w:rsid w:val="00CA4D7D"/>
    <w:rsid w:val="00CB0495"/>
    <w:rsid w:val="00CB1C10"/>
    <w:rsid w:val="00CB1E0C"/>
    <w:rsid w:val="00CB2067"/>
    <w:rsid w:val="00CB434A"/>
    <w:rsid w:val="00CB451D"/>
    <w:rsid w:val="00CB6545"/>
    <w:rsid w:val="00CC1C2E"/>
    <w:rsid w:val="00CC1CEA"/>
    <w:rsid w:val="00CC1FD2"/>
    <w:rsid w:val="00CC3A8C"/>
    <w:rsid w:val="00CC7054"/>
    <w:rsid w:val="00CC7A3B"/>
    <w:rsid w:val="00CD00AC"/>
    <w:rsid w:val="00CD1AE5"/>
    <w:rsid w:val="00CD1FFE"/>
    <w:rsid w:val="00CD4791"/>
    <w:rsid w:val="00CD763C"/>
    <w:rsid w:val="00CE09B8"/>
    <w:rsid w:val="00CE1231"/>
    <w:rsid w:val="00CE3C53"/>
    <w:rsid w:val="00CE5CAF"/>
    <w:rsid w:val="00CE6182"/>
    <w:rsid w:val="00CE6BA8"/>
    <w:rsid w:val="00CE74AD"/>
    <w:rsid w:val="00CF17C1"/>
    <w:rsid w:val="00CF55CF"/>
    <w:rsid w:val="00CF700B"/>
    <w:rsid w:val="00D05592"/>
    <w:rsid w:val="00D06E5E"/>
    <w:rsid w:val="00D10487"/>
    <w:rsid w:val="00D10539"/>
    <w:rsid w:val="00D11D0F"/>
    <w:rsid w:val="00D12C14"/>
    <w:rsid w:val="00D14327"/>
    <w:rsid w:val="00D204A3"/>
    <w:rsid w:val="00D20928"/>
    <w:rsid w:val="00D21841"/>
    <w:rsid w:val="00D23964"/>
    <w:rsid w:val="00D24596"/>
    <w:rsid w:val="00D25B95"/>
    <w:rsid w:val="00D25F71"/>
    <w:rsid w:val="00D26832"/>
    <w:rsid w:val="00D27C85"/>
    <w:rsid w:val="00D31035"/>
    <w:rsid w:val="00D3212B"/>
    <w:rsid w:val="00D3258A"/>
    <w:rsid w:val="00D3266E"/>
    <w:rsid w:val="00D32EE9"/>
    <w:rsid w:val="00D35132"/>
    <w:rsid w:val="00D35B64"/>
    <w:rsid w:val="00D35C31"/>
    <w:rsid w:val="00D403A4"/>
    <w:rsid w:val="00D41136"/>
    <w:rsid w:val="00D41DC7"/>
    <w:rsid w:val="00D42E3E"/>
    <w:rsid w:val="00D43656"/>
    <w:rsid w:val="00D46119"/>
    <w:rsid w:val="00D51D00"/>
    <w:rsid w:val="00D524E2"/>
    <w:rsid w:val="00D54A80"/>
    <w:rsid w:val="00D550D7"/>
    <w:rsid w:val="00D57BEC"/>
    <w:rsid w:val="00D626F0"/>
    <w:rsid w:val="00D64DE7"/>
    <w:rsid w:val="00D650C6"/>
    <w:rsid w:val="00D656C8"/>
    <w:rsid w:val="00D66874"/>
    <w:rsid w:val="00D679ED"/>
    <w:rsid w:val="00D700B3"/>
    <w:rsid w:val="00D70871"/>
    <w:rsid w:val="00D708ED"/>
    <w:rsid w:val="00D74082"/>
    <w:rsid w:val="00D74424"/>
    <w:rsid w:val="00D75074"/>
    <w:rsid w:val="00D76319"/>
    <w:rsid w:val="00D765D7"/>
    <w:rsid w:val="00D83A7E"/>
    <w:rsid w:val="00D8423E"/>
    <w:rsid w:val="00D84C4E"/>
    <w:rsid w:val="00D873A4"/>
    <w:rsid w:val="00D87BC1"/>
    <w:rsid w:val="00D87CC2"/>
    <w:rsid w:val="00D9268B"/>
    <w:rsid w:val="00D92CC4"/>
    <w:rsid w:val="00D93676"/>
    <w:rsid w:val="00D95432"/>
    <w:rsid w:val="00D969D2"/>
    <w:rsid w:val="00D96BEF"/>
    <w:rsid w:val="00DA3C75"/>
    <w:rsid w:val="00DA40B7"/>
    <w:rsid w:val="00DA4475"/>
    <w:rsid w:val="00DA4700"/>
    <w:rsid w:val="00DA49BD"/>
    <w:rsid w:val="00DA744F"/>
    <w:rsid w:val="00DB3077"/>
    <w:rsid w:val="00DB3D06"/>
    <w:rsid w:val="00DB3DAF"/>
    <w:rsid w:val="00DB562F"/>
    <w:rsid w:val="00DB6442"/>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2090"/>
    <w:rsid w:val="00DE2D4D"/>
    <w:rsid w:val="00DE5C17"/>
    <w:rsid w:val="00DE5DA3"/>
    <w:rsid w:val="00DE73E9"/>
    <w:rsid w:val="00DE7BBB"/>
    <w:rsid w:val="00DE7BE8"/>
    <w:rsid w:val="00DF2054"/>
    <w:rsid w:val="00DF2F2E"/>
    <w:rsid w:val="00DF4214"/>
    <w:rsid w:val="00DF42ED"/>
    <w:rsid w:val="00DF591C"/>
    <w:rsid w:val="00DF7A12"/>
    <w:rsid w:val="00E002E2"/>
    <w:rsid w:val="00E05224"/>
    <w:rsid w:val="00E05B7D"/>
    <w:rsid w:val="00E0773C"/>
    <w:rsid w:val="00E119B7"/>
    <w:rsid w:val="00E123F0"/>
    <w:rsid w:val="00E130DD"/>
    <w:rsid w:val="00E133B7"/>
    <w:rsid w:val="00E14245"/>
    <w:rsid w:val="00E14F89"/>
    <w:rsid w:val="00E15DF7"/>
    <w:rsid w:val="00E2147B"/>
    <w:rsid w:val="00E21F03"/>
    <w:rsid w:val="00E22866"/>
    <w:rsid w:val="00E2344C"/>
    <w:rsid w:val="00E24C67"/>
    <w:rsid w:val="00E24EDC"/>
    <w:rsid w:val="00E26617"/>
    <w:rsid w:val="00E27D21"/>
    <w:rsid w:val="00E301C0"/>
    <w:rsid w:val="00E31082"/>
    <w:rsid w:val="00E31E66"/>
    <w:rsid w:val="00E32184"/>
    <w:rsid w:val="00E32E3A"/>
    <w:rsid w:val="00E332DA"/>
    <w:rsid w:val="00E34ADB"/>
    <w:rsid w:val="00E4262D"/>
    <w:rsid w:val="00E4301F"/>
    <w:rsid w:val="00E45277"/>
    <w:rsid w:val="00E45D3A"/>
    <w:rsid w:val="00E46C80"/>
    <w:rsid w:val="00E47A53"/>
    <w:rsid w:val="00E5083F"/>
    <w:rsid w:val="00E50E74"/>
    <w:rsid w:val="00E52CA2"/>
    <w:rsid w:val="00E53555"/>
    <w:rsid w:val="00E53736"/>
    <w:rsid w:val="00E53E3D"/>
    <w:rsid w:val="00E553A0"/>
    <w:rsid w:val="00E56063"/>
    <w:rsid w:val="00E5613F"/>
    <w:rsid w:val="00E60E15"/>
    <w:rsid w:val="00E61F23"/>
    <w:rsid w:val="00E6214B"/>
    <w:rsid w:val="00E6240A"/>
    <w:rsid w:val="00E64A8C"/>
    <w:rsid w:val="00E65A15"/>
    <w:rsid w:val="00E70CF1"/>
    <w:rsid w:val="00E71868"/>
    <w:rsid w:val="00E7203C"/>
    <w:rsid w:val="00E73B2E"/>
    <w:rsid w:val="00E74473"/>
    <w:rsid w:val="00E763F7"/>
    <w:rsid w:val="00E7721C"/>
    <w:rsid w:val="00E77BA9"/>
    <w:rsid w:val="00E80AA8"/>
    <w:rsid w:val="00E82E4E"/>
    <w:rsid w:val="00E844E0"/>
    <w:rsid w:val="00E86ED1"/>
    <w:rsid w:val="00E87122"/>
    <w:rsid w:val="00E8736F"/>
    <w:rsid w:val="00E91B3B"/>
    <w:rsid w:val="00E91D1F"/>
    <w:rsid w:val="00E92AD3"/>
    <w:rsid w:val="00E92C63"/>
    <w:rsid w:val="00E94014"/>
    <w:rsid w:val="00E95706"/>
    <w:rsid w:val="00EA021D"/>
    <w:rsid w:val="00EA1083"/>
    <w:rsid w:val="00EA117B"/>
    <w:rsid w:val="00EA13CA"/>
    <w:rsid w:val="00EA22BC"/>
    <w:rsid w:val="00EA2359"/>
    <w:rsid w:val="00EA24A8"/>
    <w:rsid w:val="00EA2ACE"/>
    <w:rsid w:val="00EA320C"/>
    <w:rsid w:val="00EA40E1"/>
    <w:rsid w:val="00EA664A"/>
    <w:rsid w:val="00EB0375"/>
    <w:rsid w:val="00EB1A3A"/>
    <w:rsid w:val="00EB36D5"/>
    <w:rsid w:val="00EB3ECE"/>
    <w:rsid w:val="00EC0F05"/>
    <w:rsid w:val="00EC16AB"/>
    <w:rsid w:val="00EC6ACA"/>
    <w:rsid w:val="00EC7613"/>
    <w:rsid w:val="00EC7CFC"/>
    <w:rsid w:val="00ED3B67"/>
    <w:rsid w:val="00ED489B"/>
    <w:rsid w:val="00ED60E7"/>
    <w:rsid w:val="00ED6E54"/>
    <w:rsid w:val="00ED7404"/>
    <w:rsid w:val="00EE3A9C"/>
    <w:rsid w:val="00EE4E88"/>
    <w:rsid w:val="00EF0992"/>
    <w:rsid w:val="00EF1C9C"/>
    <w:rsid w:val="00EF2E1D"/>
    <w:rsid w:val="00EF55F5"/>
    <w:rsid w:val="00EF6059"/>
    <w:rsid w:val="00EF6396"/>
    <w:rsid w:val="00EF6860"/>
    <w:rsid w:val="00EF74F3"/>
    <w:rsid w:val="00EF76C3"/>
    <w:rsid w:val="00F00383"/>
    <w:rsid w:val="00F006DB"/>
    <w:rsid w:val="00F02DB9"/>
    <w:rsid w:val="00F030D8"/>
    <w:rsid w:val="00F0642F"/>
    <w:rsid w:val="00F064E0"/>
    <w:rsid w:val="00F066EB"/>
    <w:rsid w:val="00F06717"/>
    <w:rsid w:val="00F07E05"/>
    <w:rsid w:val="00F11796"/>
    <w:rsid w:val="00F13FCF"/>
    <w:rsid w:val="00F150A5"/>
    <w:rsid w:val="00F15237"/>
    <w:rsid w:val="00F15887"/>
    <w:rsid w:val="00F1792E"/>
    <w:rsid w:val="00F17AC8"/>
    <w:rsid w:val="00F2008C"/>
    <w:rsid w:val="00F20795"/>
    <w:rsid w:val="00F2105B"/>
    <w:rsid w:val="00F2116C"/>
    <w:rsid w:val="00F21723"/>
    <w:rsid w:val="00F21EDD"/>
    <w:rsid w:val="00F234D2"/>
    <w:rsid w:val="00F26367"/>
    <w:rsid w:val="00F26519"/>
    <w:rsid w:val="00F268C8"/>
    <w:rsid w:val="00F279F7"/>
    <w:rsid w:val="00F27C11"/>
    <w:rsid w:val="00F27E41"/>
    <w:rsid w:val="00F30677"/>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64ED"/>
    <w:rsid w:val="00F60872"/>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59EA"/>
    <w:rsid w:val="00F75E37"/>
    <w:rsid w:val="00F814B6"/>
    <w:rsid w:val="00F81734"/>
    <w:rsid w:val="00F817B5"/>
    <w:rsid w:val="00F82DEA"/>
    <w:rsid w:val="00F82ED5"/>
    <w:rsid w:val="00F847BC"/>
    <w:rsid w:val="00F84865"/>
    <w:rsid w:val="00F84D30"/>
    <w:rsid w:val="00F86F27"/>
    <w:rsid w:val="00F876AE"/>
    <w:rsid w:val="00F90621"/>
    <w:rsid w:val="00F9112C"/>
    <w:rsid w:val="00F912B3"/>
    <w:rsid w:val="00F91470"/>
    <w:rsid w:val="00F9367E"/>
    <w:rsid w:val="00F94081"/>
    <w:rsid w:val="00F96D4C"/>
    <w:rsid w:val="00F972B3"/>
    <w:rsid w:val="00F97A37"/>
    <w:rsid w:val="00FA400D"/>
    <w:rsid w:val="00FA49E4"/>
    <w:rsid w:val="00FA4AE2"/>
    <w:rsid w:val="00FA7A77"/>
    <w:rsid w:val="00FB0210"/>
    <w:rsid w:val="00FB132B"/>
    <w:rsid w:val="00FB21F8"/>
    <w:rsid w:val="00FB23AD"/>
    <w:rsid w:val="00FB30C3"/>
    <w:rsid w:val="00FB3442"/>
    <w:rsid w:val="00FB5725"/>
    <w:rsid w:val="00FB778E"/>
    <w:rsid w:val="00FB7E0B"/>
    <w:rsid w:val="00FC0A46"/>
    <w:rsid w:val="00FC16FC"/>
    <w:rsid w:val="00FC191A"/>
    <w:rsid w:val="00FC1D53"/>
    <w:rsid w:val="00FC2996"/>
    <w:rsid w:val="00FC3D97"/>
    <w:rsid w:val="00FC4D74"/>
    <w:rsid w:val="00FC59D2"/>
    <w:rsid w:val="00FC6B32"/>
    <w:rsid w:val="00FD3AE2"/>
    <w:rsid w:val="00FD3E68"/>
    <w:rsid w:val="00FD7B5B"/>
    <w:rsid w:val="00FE2C21"/>
    <w:rsid w:val="00FE3D04"/>
    <w:rsid w:val="00FE4B58"/>
    <w:rsid w:val="00FE4C19"/>
    <w:rsid w:val="00FE6D7C"/>
    <w:rsid w:val="00FE6E67"/>
    <w:rsid w:val="00FE7DA4"/>
    <w:rsid w:val="00FF12FF"/>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rsid w:val="00D42E3E"/>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87B868-0818-475E-A7A2-07BA2780C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42348473-9073-4546-BBD7-951C5B709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5407</TotalTime>
  <Pages>5</Pages>
  <Words>1739</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516</cp:revision>
  <cp:lastPrinted>2002-04-23T09:10:00Z</cp:lastPrinted>
  <dcterms:created xsi:type="dcterms:W3CDTF">2020-01-30T15:36:00Z</dcterms:created>
  <dcterms:modified xsi:type="dcterms:W3CDTF">2021-05-11T11:24:00Z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